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D86CC">
      <w:pPr>
        <w:pStyle w:val="2"/>
        <w:bidi w:val="0"/>
        <w:jc w:val="center"/>
        <w:rPr>
          <w:rFonts w:hint="eastAsia"/>
          <w:sz w:val="36"/>
          <w:szCs w:val="36"/>
          <w:lang w:val="en-US" w:eastAsia="zh-CN"/>
        </w:rPr>
      </w:pPr>
      <w:bookmarkStart w:id="1" w:name="_GoBack"/>
      <w:r>
        <w:rPr>
          <w:rFonts w:hint="eastAsia"/>
          <w:sz w:val="36"/>
          <w:szCs w:val="36"/>
          <w:lang w:val="en-US" w:eastAsia="zh-CN"/>
        </w:rPr>
        <w:t>大邑县人民医院</w:t>
      </w:r>
    </w:p>
    <w:p w14:paraId="6B9A94D4">
      <w:pPr>
        <w:pStyle w:val="2"/>
        <w:bidi w:val="0"/>
        <w:jc w:val="center"/>
        <w:rPr>
          <w:rFonts w:hint="eastAsia"/>
          <w:sz w:val="36"/>
          <w:szCs w:val="36"/>
          <w:lang w:val="en-US" w:eastAsia="zh-CN"/>
        </w:rPr>
      </w:pPr>
      <w:r>
        <w:rPr>
          <w:rFonts w:hint="eastAsia"/>
          <w:sz w:val="36"/>
          <w:szCs w:val="36"/>
          <w:lang w:val="en-US" w:eastAsia="zh-CN"/>
        </w:rPr>
        <w:t>第三方审计服务项目比选文件</w:t>
      </w:r>
    </w:p>
    <w:p w14:paraId="19886C40">
      <w:pPr>
        <w:rPr>
          <w:rFonts w:hint="default"/>
          <w:lang w:val="en-US"/>
        </w:rPr>
      </w:pPr>
    </w:p>
    <w:bookmarkEnd w:id="1"/>
    <w:p w14:paraId="70A191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一、项目名称</w:t>
      </w:r>
      <w:r>
        <w:rPr>
          <w:rFonts w:hint="eastAsia" w:ascii="仿宋_GB2312" w:hAnsi="仿宋_GB2312" w:eastAsia="仿宋_GB2312" w:cs="仿宋_GB2312"/>
          <w:b w:val="0"/>
          <w:bCs/>
          <w:color w:val="auto"/>
          <w:kern w:val="2"/>
          <w:sz w:val="32"/>
          <w:szCs w:val="32"/>
          <w:lang w:val="en-US" w:eastAsia="zh-CN" w:bidi="ar-SA"/>
        </w:rPr>
        <w:t>：第三方审计服务项目</w:t>
      </w:r>
    </w:p>
    <w:p w14:paraId="50F744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二、项目内容</w:t>
      </w:r>
      <w:r>
        <w:rPr>
          <w:rFonts w:hint="eastAsia" w:ascii="仿宋_GB2312" w:hAnsi="仿宋_GB2312" w:eastAsia="仿宋_GB2312" w:cs="仿宋_GB2312"/>
          <w:b w:val="0"/>
          <w:bCs/>
          <w:color w:val="auto"/>
          <w:kern w:val="2"/>
          <w:sz w:val="32"/>
          <w:szCs w:val="32"/>
          <w:lang w:val="en-US" w:eastAsia="zh-CN" w:bidi="ar-SA"/>
        </w:rPr>
        <w:t>：大邑县人民医院2025年度财务年报、财务收支、内部控制风险评估及内部控制评价</w:t>
      </w:r>
    </w:p>
    <w:p w14:paraId="071B8A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三、预算金额</w:t>
      </w:r>
      <w:r>
        <w:rPr>
          <w:rFonts w:hint="eastAsia" w:ascii="仿宋_GB2312" w:hAnsi="仿宋_GB2312" w:eastAsia="仿宋_GB2312" w:cs="仿宋_GB2312"/>
          <w:b w:val="0"/>
          <w:bCs/>
          <w:color w:val="auto"/>
          <w:kern w:val="2"/>
          <w:sz w:val="32"/>
          <w:szCs w:val="32"/>
          <w:lang w:val="en-US" w:eastAsia="zh-CN" w:bidi="ar-SA"/>
        </w:rPr>
        <w:t>：4万元</w:t>
      </w:r>
    </w:p>
    <w:p w14:paraId="13169B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四、评标方式</w:t>
      </w:r>
      <w:r>
        <w:rPr>
          <w:rFonts w:hint="eastAsia" w:ascii="仿宋_GB2312" w:hAnsi="仿宋_GB2312" w:eastAsia="仿宋_GB2312" w:cs="仿宋_GB2312"/>
          <w:b w:val="0"/>
          <w:bCs/>
          <w:color w:val="auto"/>
          <w:kern w:val="2"/>
          <w:sz w:val="32"/>
          <w:szCs w:val="32"/>
          <w:lang w:val="en-US" w:eastAsia="zh-CN" w:bidi="ar-SA"/>
        </w:rPr>
        <w:t>：综合评分法</w:t>
      </w:r>
    </w:p>
    <w:p w14:paraId="4616EF9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五、资格要求</w:t>
      </w:r>
      <w:r>
        <w:rPr>
          <w:rFonts w:hint="eastAsia" w:ascii="仿宋_GB2312" w:hAnsi="仿宋_GB2312" w:eastAsia="仿宋_GB2312" w:cs="仿宋_GB2312"/>
          <w:b w:val="0"/>
          <w:bCs/>
          <w:color w:val="auto"/>
          <w:kern w:val="2"/>
          <w:sz w:val="32"/>
          <w:szCs w:val="32"/>
          <w:lang w:val="en-US" w:eastAsia="zh-CN" w:bidi="ar-SA"/>
        </w:rPr>
        <w:t>：</w:t>
      </w:r>
    </w:p>
    <w:p w14:paraId="0DE63A2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1.具有独立承担民事责任的能力；</w:t>
      </w:r>
    </w:p>
    <w:p w14:paraId="27763EB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2.具有良好的商业信誉和健全的财务会计制度；</w:t>
      </w:r>
    </w:p>
    <w:p w14:paraId="07A751F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3.具有履行合同所必需的设备和专业技术能力；</w:t>
      </w:r>
    </w:p>
    <w:p w14:paraId="1EAFD4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4.具有依法缴纳税收和社会保障资金的良好记录；</w:t>
      </w:r>
    </w:p>
    <w:p w14:paraId="58B507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5.参加本次比选活动前三年内，在经营活动中没有重大违法记录；未处于财产被接管、冻结、破产状态，未处于有关行政处罚期间，未处于投标禁入期内；</w:t>
      </w:r>
    </w:p>
    <w:p w14:paraId="6BFEF0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6.法律、行政法规规定的其他条件：</w:t>
      </w:r>
    </w:p>
    <w:p w14:paraId="7E39A9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6.1单位负责人为同一人或者存在直接控股、管理关系的不同比选申请人，不得参加同一合同项下的比选活动；</w:t>
      </w:r>
    </w:p>
    <w:p w14:paraId="39F7BF7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6.2供应商单位及其法定代表人、主要负责人不得具有行贿犯罪记录；</w:t>
      </w:r>
    </w:p>
    <w:p w14:paraId="12E65D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6.3拒绝列入失信被执行人、重大税收违法案件当事人名单、政府采购严重违法失信行为记录名单的比选申请人参加本次比选活动；</w:t>
      </w:r>
    </w:p>
    <w:p w14:paraId="30661A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7.本项目不接受联合体参加比选。</w:t>
      </w:r>
    </w:p>
    <w:p w14:paraId="1390599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8.持有经财政部门依法审批的会计师事务所执业证书。</w:t>
      </w:r>
    </w:p>
    <w:p w14:paraId="511D0D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bCs w:val="0"/>
          <w:color w:val="auto"/>
          <w:kern w:val="2"/>
          <w:sz w:val="28"/>
          <w:szCs w:val="28"/>
          <w:lang w:val="en-US" w:eastAsia="zh-CN" w:bidi="ar-SA"/>
        </w:rPr>
        <w:t>★</w:t>
      </w:r>
      <w:r>
        <w:rPr>
          <w:rFonts w:hint="eastAsia" w:ascii="黑体" w:hAnsi="黑体" w:eastAsia="黑体" w:cs="黑体"/>
          <w:b w:val="0"/>
          <w:bCs/>
          <w:color w:val="auto"/>
          <w:kern w:val="2"/>
          <w:sz w:val="32"/>
          <w:szCs w:val="32"/>
          <w:lang w:val="en-US" w:eastAsia="zh-CN" w:bidi="ar-SA"/>
        </w:rPr>
        <w:t>六、服务要求</w:t>
      </w:r>
      <w:r>
        <w:rPr>
          <w:rFonts w:hint="eastAsia" w:ascii="仿宋_GB2312" w:hAnsi="仿宋_GB2312" w:eastAsia="仿宋_GB2312" w:cs="仿宋_GB2312"/>
          <w:b w:val="0"/>
          <w:bCs/>
          <w:color w:val="auto"/>
          <w:kern w:val="2"/>
          <w:sz w:val="32"/>
          <w:szCs w:val="32"/>
          <w:lang w:val="en-US" w:eastAsia="zh-CN" w:bidi="ar-SA"/>
        </w:rPr>
        <w:t>：</w:t>
      </w:r>
    </w:p>
    <w:p w14:paraId="7ED06B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一）对委托项目应按比选时提供的实施方案组织实施，项目组人员中至少应保证：项目负责人必须是本公司的注册会计师，本项目负责人必须全程参与审计工作现场，审计人员必须与审计实施方案中人员配置一致，与甲乙双方有利害关系的人员必须回避。</w:t>
      </w:r>
    </w:p>
    <w:p w14:paraId="1DB610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（二）采购人认为供应商的项目审计结果有较大问题时，采购人有权对审核项目进行重审，供应商应予以配合。</w:t>
      </w:r>
    </w:p>
    <w:p w14:paraId="6D30CA8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（三）供应商应按照国家法律法规、政府会计制度、事业单位会计准则等依法开展工作，并规范出具审计报告。</w:t>
      </w:r>
    </w:p>
    <w:p w14:paraId="4301FF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（四）供应商执业中必须遵守国家相关法律、法规，遵守行业自律和委托方的廉政纪律、保密纪律、职业道德以及其他相关规定。否则，应承担相应法律责任。</w:t>
      </w:r>
    </w:p>
    <w:p w14:paraId="0E086A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五）受托供应商应严格遵守采购人的信息保密制度，严禁复制、盗用项目有关信息以及在审计中获悉的采购人其它信息。否则，采购人有权终止合作，拒绝支付任何项目费用，并保留进一步采用法律手段解决问题的权利。</w:t>
      </w:r>
    </w:p>
    <w:p w14:paraId="1B07C1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（六）财务收支审计要求：</w:t>
      </w:r>
      <w:r>
        <w:rPr>
          <w:rFonts w:hint="eastAsia" w:ascii="仿宋_GB2312" w:hAnsi="仿宋_GB2312" w:eastAsia="仿宋_GB2312" w:cs="仿宋_GB2312"/>
          <w:b w:val="0"/>
          <w:bCs/>
          <w:color w:val="auto"/>
          <w:kern w:val="2"/>
          <w:sz w:val="32"/>
          <w:szCs w:val="32"/>
          <w:lang w:val="en-US" w:eastAsia="zh-CN" w:bidi="ar-SA"/>
        </w:rPr>
        <w:t>根据相关文件制度，重点核查医疗业务成本、药品耗材成本、人员经费归集结转的真实性、合规性，排查成本核算不规范、虚列支出、管控缺失等问题，并出具财务收支审计报告，助力医院规范成本管理、提升资金使用效益。</w:t>
      </w:r>
    </w:p>
    <w:p w14:paraId="58AA11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（七）风险评估要求：</w:t>
      </w:r>
      <w:r>
        <w:rPr>
          <w:rFonts w:hint="eastAsia" w:ascii="仿宋_GB2312" w:hAnsi="仿宋_GB2312" w:eastAsia="仿宋_GB2312" w:cs="仿宋_GB2312"/>
          <w:b w:val="0"/>
          <w:bCs/>
          <w:color w:val="auto"/>
          <w:kern w:val="2"/>
          <w:sz w:val="32"/>
          <w:szCs w:val="32"/>
          <w:lang w:val="en-US" w:eastAsia="zh-CN" w:bidi="ar-SA"/>
        </w:rPr>
        <w:t>根据相关文件制度，结合医院实际情况，全面、系统和客观地识别、分析医院经济活动及相关业务活动存在的风险，确定相应的风险承受度及风险应对策略，提出完善内控建设的建议，并出具风险评估报告，协助医院完善内控体系建设工作。</w:t>
      </w:r>
    </w:p>
    <w:p w14:paraId="16C4D8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（八）内控评价要求：</w:t>
      </w:r>
      <w:r>
        <w:rPr>
          <w:rFonts w:hint="eastAsia" w:ascii="仿宋_GB2312" w:hAnsi="仿宋_GB2312" w:eastAsia="仿宋_GB2312" w:cs="仿宋_GB2312"/>
          <w:b w:val="0"/>
          <w:bCs/>
          <w:color w:val="auto"/>
          <w:kern w:val="2"/>
          <w:sz w:val="32"/>
          <w:szCs w:val="32"/>
          <w:lang w:val="en-US" w:eastAsia="zh-CN" w:bidi="ar-SA"/>
        </w:rPr>
        <w:t>根据相关文件制度，对医院内部控制建立和实施的有效性进行评价，并出具评价报告。查找内部控制体系在设计和运行过程中存在的管理漏洞和薄弱环节，提出完善建议，协助医院完善内控体系建设工作。在出具内控评价报告后，结合发现问题向医院职工开展内部控制相关的专题培训。</w:t>
      </w:r>
    </w:p>
    <w:p w14:paraId="721CB84C">
      <w:pPr>
        <w:pStyle w:val="5"/>
        <w:keepNext w:val="0"/>
        <w:keepLines w:val="0"/>
        <w:pageBreakBefore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val="0"/>
          <w:bCs/>
          <w:color w:val="auto"/>
          <w:kern w:val="2"/>
          <w:sz w:val="32"/>
          <w:szCs w:val="32"/>
          <w:lang w:val="en-US" w:eastAsia="zh-CN" w:bidi="ar-SA"/>
        </w:rPr>
      </w:pPr>
      <w:r>
        <w:rPr>
          <w:rFonts w:hint="eastAsia" w:ascii="仿宋_GB2312" w:hAnsi="仿宋_GB2312" w:eastAsia="仿宋_GB2312" w:cs="仿宋_GB2312"/>
          <w:b/>
          <w:bCs w:val="0"/>
          <w:color w:val="auto"/>
          <w:kern w:val="2"/>
          <w:sz w:val="28"/>
          <w:szCs w:val="28"/>
          <w:lang w:val="en-US" w:eastAsia="zh-CN" w:bidi="ar-SA"/>
        </w:rPr>
        <w:t>★</w:t>
      </w:r>
      <w:r>
        <w:rPr>
          <w:rFonts w:hint="eastAsia" w:ascii="黑体" w:hAnsi="黑体" w:eastAsia="黑体" w:cs="黑体"/>
          <w:b w:val="0"/>
          <w:bCs/>
          <w:color w:val="auto"/>
          <w:kern w:val="2"/>
          <w:sz w:val="32"/>
          <w:szCs w:val="32"/>
          <w:lang w:val="en-US" w:eastAsia="zh-CN" w:bidi="ar-SA"/>
        </w:rPr>
        <w:t>七、商务要求</w:t>
      </w:r>
    </w:p>
    <w:p w14:paraId="142AC88C">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 w:hAnsi="楷体" w:eastAsia="楷体" w:cs="楷体"/>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（一）服务期限</w:t>
      </w:r>
    </w:p>
    <w:p w14:paraId="6A2988C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供应商应在进场后60天内完成受托业务并出具审计报告，同时提供审计报告和审计底稿电子文档。如因采购方原因或不可预见的情况，供应商不能按照约定时间完成受托业务，供应商应与采购方协商后确定完成时限。</w:t>
      </w:r>
    </w:p>
    <w:p w14:paraId="0B9AA2F3">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 w:hAnsi="楷体" w:eastAsia="楷体" w:cs="楷体"/>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（二）服务地点</w:t>
      </w:r>
    </w:p>
    <w:p w14:paraId="36C91AD3">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大邑县人民医院（大邑县晋原镇北街323号）</w:t>
      </w:r>
    </w:p>
    <w:p w14:paraId="61813F59">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 w:hAnsi="楷体" w:eastAsia="楷体" w:cs="楷体"/>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（三）付款进度安排</w:t>
      </w:r>
    </w:p>
    <w:p w14:paraId="34A53A5E">
      <w:pPr>
        <w:pStyle w:val="12"/>
        <w:keepNext w:val="0"/>
        <w:keepLines w:val="0"/>
        <w:pageBreakBefore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1.签订合同且中标供应商进场后，采购人收到成交供应商有效票据15日内，支付审计费的40%作为预付款；</w:t>
      </w:r>
    </w:p>
    <w:p w14:paraId="79E4FBE6">
      <w:pPr>
        <w:pStyle w:val="12"/>
        <w:keepNext w:val="0"/>
        <w:keepLines w:val="0"/>
        <w:pageBreakBefore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2.中标供应商提交最终审计报告并验收合格后，采购人收到供应商有效票据15日内，支付审计费的60%；</w:t>
      </w:r>
    </w:p>
    <w:p w14:paraId="56947BA2">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 w:hAnsi="楷体" w:eastAsia="楷体" w:cs="楷体"/>
          <w:b w:val="0"/>
          <w:bCs/>
          <w:color w:val="auto"/>
          <w:kern w:val="2"/>
          <w:sz w:val="32"/>
          <w:szCs w:val="32"/>
          <w:lang w:val="en-US" w:eastAsia="zh-CN" w:bidi="ar-SA"/>
        </w:rPr>
      </w:pPr>
      <w:r>
        <w:rPr>
          <w:rFonts w:hint="eastAsia" w:ascii="楷体" w:hAnsi="楷体" w:eastAsia="楷体" w:cs="楷体"/>
          <w:b w:val="0"/>
          <w:bCs/>
          <w:color w:val="auto"/>
          <w:kern w:val="2"/>
          <w:sz w:val="32"/>
          <w:szCs w:val="32"/>
          <w:lang w:val="en-US" w:eastAsia="zh-CN" w:bidi="ar-SA"/>
        </w:rPr>
        <w:t>（四）违约责任与解决争议的方法</w:t>
      </w:r>
    </w:p>
    <w:p w14:paraId="3479CD22">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违约责任：供应商未在合同约定的期限内提交经采购人验收合格的审计报告的，每逾期一天，应当支付采购人审计服务费用0.5%的违约金;逾期15日以上的，采购人有权单方解除本项目合同且无须支付任何费用，供应商应当向采购人支付审计服务费用20%的违约金并赔偿由此给采购人造成的一切损失。若因采购人原因或不可抗力事件导致供应商逾期除外。</w:t>
      </w:r>
    </w:p>
    <w:p w14:paraId="71170AB1">
      <w:pPr>
        <w:pStyle w:val="8"/>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解决争议的方法：在执行本合同中发生的或与本合同有关的争端，双方应通过友好协商解决，经协商不能达成协议时，应提交合同履行地人民法院诉讼解决。</w:t>
      </w:r>
    </w:p>
    <w:p w14:paraId="2E01345C">
      <w:pPr>
        <w:pStyle w:val="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bCs w:val="0"/>
          <w:color w:val="auto"/>
          <w:kern w:val="2"/>
          <w:sz w:val="28"/>
          <w:szCs w:val="28"/>
          <w:lang w:val="en-US" w:eastAsia="zh-CN" w:bidi="ar-SA"/>
        </w:rPr>
      </w:pPr>
    </w:p>
    <w:p w14:paraId="4F7EAEE8">
      <w:pPr>
        <w:pStyle w:val="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bCs w:val="0"/>
          <w:color w:val="auto"/>
          <w:kern w:val="2"/>
          <w:sz w:val="28"/>
          <w:szCs w:val="28"/>
          <w:lang w:val="en-US" w:eastAsia="zh-CN" w:bidi="ar-SA"/>
        </w:rPr>
        <w:t>备注：本章采购需求中标注“</w:t>
      </w:r>
      <w:bookmarkStart w:id="0" w:name="OLE_LINK6"/>
      <w:r>
        <w:rPr>
          <w:rFonts w:hint="eastAsia" w:ascii="仿宋_GB2312" w:hAnsi="仿宋_GB2312" w:eastAsia="仿宋_GB2312" w:cs="仿宋_GB2312"/>
          <w:b/>
          <w:bCs w:val="0"/>
          <w:color w:val="auto"/>
          <w:kern w:val="2"/>
          <w:sz w:val="28"/>
          <w:szCs w:val="28"/>
          <w:lang w:val="en-US" w:eastAsia="zh-CN" w:bidi="ar-SA"/>
        </w:rPr>
        <w:t>★</w:t>
      </w:r>
      <w:bookmarkEnd w:id="0"/>
      <w:r>
        <w:rPr>
          <w:rFonts w:hint="eastAsia" w:ascii="仿宋_GB2312" w:hAnsi="仿宋_GB2312" w:eastAsia="仿宋_GB2312" w:cs="仿宋_GB2312"/>
          <w:b/>
          <w:bCs w:val="0"/>
          <w:color w:val="auto"/>
          <w:kern w:val="2"/>
          <w:sz w:val="28"/>
          <w:szCs w:val="28"/>
          <w:lang w:val="en-US" w:eastAsia="zh-CN" w:bidi="ar-SA"/>
        </w:rPr>
        <w:t>”号的条款为本次采购项目的实质性要求供应商应全部满足。</w:t>
      </w:r>
    </w:p>
    <w:p w14:paraId="730699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color w:val="auto"/>
          <w:kern w:val="2"/>
          <w:sz w:val="32"/>
          <w:szCs w:val="32"/>
          <w:lang w:val="en-US" w:eastAsia="zh-CN" w:bidi="ar-SA"/>
        </w:rPr>
      </w:pPr>
    </w:p>
    <w:p w14:paraId="06199D4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color w:val="auto"/>
          <w:kern w:val="2"/>
          <w:sz w:val="32"/>
          <w:szCs w:val="32"/>
          <w:lang w:val="en-US" w:eastAsia="zh-CN" w:bidi="ar-SA"/>
        </w:rPr>
      </w:pPr>
    </w:p>
    <w:p w14:paraId="7BF6D43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color w:val="auto"/>
          <w:kern w:val="2"/>
          <w:sz w:val="32"/>
          <w:szCs w:val="32"/>
          <w:lang w:val="en-US" w:eastAsia="zh-CN" w:bidi="ar-SA"/>
        </w:rPr>
      </w:pPr>
    </w:p>
    <w:p w14:paraId="2597149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八、综合评分表</w:t>
      </w:r>
      <w:r>
        <w:rPr>
          <w:rFonts w:hint="eastAsia" w:ascii="仿宋_GB2312" w:hAnsi="仿宋_GB2312" w:eastAsia="仿宋_GB2312" w:cs="仿宋_GB2312"/>
          <w:b w:val="0"/>
          <w:bCs/>
          <w:color w:val="auto"/>
          <w:kern w:val="2"/>
          <w:sz w:val="32"/>
          <w:szCs w:val="32"/>
          <w:lang w:val="en-US" w:eastAsia="zh-CN" w:bidi="ar-SA"/>
        </w:rPr>
        <w:t>：</w:t>
      </w:r>
    </w:p>
    <w:tbl>
      <w:tblPr>
        <w:tblStyle w:val="9"/>
        <w:tblpPr w:leftFromText="180" w:rightFromText="180" w:vertAnchor="text" w:horzAnchor="page" w:tblpX="977" w:tblpY="458"/>
        <w:tblOverlap w:val="never"/>
        <w:tblW w:w="10363" w:type="dxa"/>
        <w:tblInd w:w="0" w:type="dxa"/>
        <w:tblLayout w:type="fixed"/>
        <w:tblCellMar>
          <w:top w:w="0" w:type="dxa"/>
          <w:left w:w="0" w:type="dxa"/>
          <w:bottom w:w="0" w:type="dxa"/>
          <w:right w:w="0" w:type="dxa"/>
        </w:tblCellMar>
      </w:tblPr>
      <w:tblGrid>
        <w:gridCol w:w="609"/>
        <w:gridCol w:w="1311"/>
        <w:gridCol w:w="870"/>
        <w:gridCol w:w="6075"/>
        <w:gridCol w:w="1498"/>
      </w:tblGrid>
      <w:tr w14:paraId="11775EDB">
        <w:tblPrEx>
          <w:tblCellMar>
            <w:top w:w="0" w:type="dxa"/>
            <w:left w:w="0" w:type="dxa"/>
            <w:bottom w:w="0" w:type="dxa"/>
            <w:right w:w="0" w:type="dxa"/>
          </w:tblCellMar>
        </w:tblPrEx>
        <w:trPr>
          <w:trHeight w:val="640" w:hRule="atLeast"/>
        </w:trPr>
        <w:tc>
          <w:tcPr>
            <w:tcW w:w="60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0F9B76">
            <w:pPr>
              <w:widowControl/>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rPr>
              <w:t>序号</w:t>
            </w:r>
          </w:p>
        </w:tc>
        <w:tc>
          <w:tcPr>
            <w:tcW w:w="1311"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3EA0A350">
            <w:pPr>
              <w:widowControl/>
              <w:textAlignment w:val="center"/>
              <w:rPr>
                <w:rFonts w:hint="eastAsia" w:ascii="黑体" w:hAnsi="黑体" w:eastAsia="黑体" w:cs="黑体"/>
                <w:color w:val="000000"/>
                <w:szCs w:val="21"/>
              </w:rPr>
            </w:pPr>
            <w:r>
              <w:rPr>
                <w:rFonts w:hint="eastAsia" w:ascii="黑体" w:hAnsi="黑体" w:eastAsia="黑体" w:cs="黑体"/>
                <w:color w:val="000000"/>
                <w:kern w:val="0"/>
                <w:szCs w:val="21"/>
              </w:rPr>
              <w:t>评分因素</w:t>
            </w:r>
          </w:p>
        </w:tc>
        <w:tc>
          <w:tcPr>
            <w:tcW w:w="8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233EF64E">
            <w:pPr>
              <w:widowControl/>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rPr>
              <w:t>分值</w:t>
            </w:r>
          </w:p>
        </w:tc>
        <w:tc>
          <w:tcPr>
            <w:tcW w:w="607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76047EA9">
            <w:pPr>
              <w:widowControl/>
              <w:ind w:firstLine="420" w:firstLineChars="200"/>
              <w:textAlignment w:val="center"/>
              <w:rPr>
                <w:rFonts w:hint="eastAsia" w:ascii="黑体" w:hAnsi="黑体" w:eastAsia="黑体" w:cs="黑体"/>
                <w:color w:val="000000"/>
                <w:szCs w:val="21"/>
              </w:rPr>
            </w:pPr>
            <w:r>
              <w:rPr>
                <w:rFonts w:hint="eastAsia" w:ascii="黑体" w:hAnsi="黑体" w:eastAsia="黑体" w:cs="黑体"/>
                <w:color w:val="000000"/>
                <w:kern w:val="0"/>
                <w:szCs w:val="21"/>
              </w:rPr>
              <w:t>评分标准</w:t>
            </w:r>
          </w:p>
        </w:tc>
        <w:tc>
          <w:tcPr>
            <w:tcW w:w="149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30FF3B72">
            <w:pPr>
              <w:widowControl/>
              <w:ind w:firstLine="420" w:firstLineChars="200"/>
              <w:textAlignment w:val="center"/>
              <w:rPr>
                <w:rFonts w:hint="eastAsia" w:ascii="黑体" w:hAnsi="黑体" w:eastAsia="黑体" w:cs="黑体"/>
                <w:color w:val="000000"/>
                <w:szCs w:val="21"/>
              </w:rPr>
            </w:pPr>
            <w:r>
              <w:rPr>
                <w:rFonts w:hint="eastAsia" w:ascii="黑体" w:hAnsi="黑体" w:eastAsia="黑体" w:cs="黑体"/>
                <w:color w:val="000000"/>
                <w:kern w:val="0"/>
                <w:szCs w:val="21"/>
              </w:rPr>
              <w:t>说明</w:t>
            </w:r>
          </w:p>
        </w:tc>
      </w:tr>
      <w:tr w14:paraId="6B8E9885">
        <w:tblPrEx>
          <w:tblCellMar>
            <w:top w:w="0" w:type="dxa"/>
            <w:left w:w="0" w:type="dxa"/>
            <w:bottom w:w="0" w:type="dxa"/>
            <w:right w:w="0" w:type="dxa"/>
          </w:tblCellMar>
        </w:tblPrEx>
        <w:trPr>
          <w:trHeight w:val="1075" w:hRule="atLeast"/>
        </w:trPr>
        <w:tc>
          <w:tcPr>
            <w:tcW w:w="609"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E23F4B">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1</w:t>
            </w:r>
          </w:p>
        </w:tc>
        <w:tc>
          <w:tcPr>
            <w:tcW w:w="1311"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0691AF04">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报价</w:t>
            </w:r>
          </w:p>
        </w:tc>
        <w:tc>
          <w:tcPr>
            <w:tcW w:w="8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DF02FF3">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2</w:t>
            </w:r>
            <w:r>
              <w:rPr>
                <w:rFonts w:hint="eastAsia" w:ascii="Times New Roman" w:hAnsi="Times New Roman" w:eastAsia="仿宋_GB2312" w:cs="Times New Roman"/>
                <w:bCs/>
                <w:kern w:val="0"/>
                <w:sz w:val="24"/>
                <w:szCs w:val="24"/>
                <w:lang w:val="en-US" w:eastAsia="zh-CN"/>
              </w:rPr>
              <w:t>0</w:t>
            </w:r>
            <w:r>
              <w:rPr>
                <w:rFonts w:hint="eastAsia" w:ascii="Times New Roman" w:hAnsi="Times New Roman" w:eastAsia="仿宋_GB2312" w:cs="Times New Roman"/>
                <w:bCs/>
                <w:kern w:val="0"/>
                <w:sz w:val="24"/>
                <w:szCs w:val="24"/>
              </w:rPr>
              <w:t>分</w:t>
            </w:r>
          </w:p>
        </w:tc>
        <w:tc>
          <w:tcPr>
            <w:tcW w:w="607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04876BB6">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以本次评审最低有效报价为基准价，</w:t>
            </w:r>
          </w:p>
          <w:p w14:paraId="0EA22036">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imes New Roman"/>
                <w:bCs/>
                <w:kern w:val="0"/>
                <w:sz w:val="24"/>
                <w:szCs w:val="24"/>
                <w:lang w:eastAsia="zh-CN"/>
              </w:rPr>
            </w:pPr>
            <w:r>
              <w:rPr>
                <w:rFonts w:hint="eastAsia" w:ascii="Times New Roman" w:hAnsi="Times New Roman" w:eastAsia="仿宋_GB2312" w:cs="Times New Roman"/>
                <w:bCs/>
                <w:kern w:val="0"/>
                <w:sz w:val="24"/>
                <w:szCs w:val="24"/>
              </w:rPr>
              <w:t>报价得分=（基准价/报价）×2</w:t>
            </w:r>
            <w:r>
              <w:rPr>
                <w:rFonts w:hint="eastAsia" w:ascii="Times New Roman" w:hAnsi="Times New Roman" w:eastAsia="仿宋_GB2312" w:cs="Times New Roman"/>
                <w:bCs/>
                <w:kern w:val="0"/>
                <w:sz w:val="24"/>
                <w:szCs w:val="24"/>
                <w:lang w:val="en-US" w:eastAsia="zh-CN"/>
              </w:rPr>
              <w:t>0</w:t>
            </w:r>
          </w:p>
        </w:tc>
        <w:tc>
          <w:tcPr>
            <w:tcW w:w="149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1F06956A">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p>
        </w:tc>
      </w:tr>
      <w:tr w14:paraId="46FC9E51">
        <w:tblPrEx>
          <w:tblCellMar>
            <w:top w:w="0" w:type="dxa"/>
            <w:left w:w="0" w:type="dxa"/>
            <w:bottom w:w="0" w:type="dxa"/>
            <w:right w:w="0" w:type="dxa"/>
          </w:tblCellMar>
        </w:tblPrEx>
        <w:trPr>
          <w:trHeight w:val="4160" w:hRule="atLeast"/>
        </w:trPr>
        <w:tc>
          <w:tcPr>
            <w:tcW w:w="609"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EF2D9F">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2</w:t>
            </w:r>
          </w:p>
        </w:tc>
        <w:tc>
          <w:tcPr>
            <w:tcW w:w="1311"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89D765D">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项目服务方案</w:t>
            </w:r>
          </w:p>
        </w:tc>
        <w:tc>
          <w:tcPr>
            <w:tcW w:w="87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4FB998D">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3</w:t>
            </w:r>
            <w:r>
              <w:rPr>
                <w:rFonts w:hint="eastAsia" w:ascii="Times New Roman" w:hAnsi="Times New Roman" w:eastAsia="仿宋_GB2312" w:cs="Times New Roman"/>
                <w:bCs/>
                <w:kern w:val="0"/>
                <w:sz w:val="24"/>
                <w:szCs w:val="24"/>
                <w:lang w:val="en-US" w:eastAsia="zh-CN"/>
              </w:rPr>
              <w:t>0</w:t>
            </w:r>
            <w:r>
              <w:rPr>
                <w:rFonts w:hint="eastAsia" w:ascii="Times New Roman" w:hAnsi="Times New Roman" w:eastAsia="仿宋_GB2312" w:cs="Times New Roman"/>
                <w:bCs/>
                <w:kern w:val="0"/>
                <w:sz w:val="24"/>
                <w:szCs w:val="24"/>
              </w:rPr>
              <w:t>分</w:t>
            </w:r>
          </w:p>
        </w:tc>
        <w:tc>
          <w:tcPr>
            <w:tcW w:w="60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C8FDF1C">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imes New Roman"/>
                <w:bCs/>
                <w:kern w:val="0"/>
                <w:sz w:val="24"/>
                <w:szCs w:val="24"/>
                <w:lang w:eastAsia="zh-CN"/>
              </w:rPr>
            </w:pPr>
            <w:r>
              <w:rPr>
                <w:rFonts w:hint="default" w:ascii="Times New Roman" w:hAnsi="Times New Roman" w:eastAsia="仿宋_GB2312" w:cs="Times New Roman"/>
                <w:bCs/>
                <w:kern w:val="0"/>
                <w:sz w:val="24"/>
                <w:szCs w:val="24"/>
              </w:rPr>
              <w:t>1.</w:t>
            </w:r>
            <w:r>
              <w:rPr>
                <w:rFonts w:hint="default" w:ascii="Times New Roman" w:hAnsi="Times New Roman" w:eastAsia="仿宋_GB2312" w:cs="Times New Roman"/>
                <w:bCs/>
                <w:kern w:val="0"/>
                <w:sz w:val="24"/>
                <w:szCs w:val="24"/>
                <w:lang w:eastAsia="zh-CN"/>
              </w:rPr>
              <w:t>审计</w:t>
            </w:r>
            <w:r>
              <w:rPr>
                <w:rFonts w:hint="default" w:ascii="Times New Roman" w:hAnsi="Times New Roman" w:eastAsia="仿宋_GB2312" w:cs="Times New Roman"/>
                <w:bCs/>
                <w:kern w:val="0"/>
                <w:sz w:val="24"/>
                <w:szCs w:val="24"/>
              </w:rPr>
              <w:t>方案：</w:t>
            </w:r>
            <w:r>
              <w:rPr>
                <w:rFonts w:hint="eastAsia" w:ascii="Times New Roman" w:hAnsi="Times New Roman" w:eastAsia="仿宋_GB2312" w:cs="Times New Roman"/>
                <w:bCs/>
                <w:kern w:val="0"/>
                <w:sz w:val="24"/>
                <w:szCs w:val="24"/>
              </w:rPr>
              <w:t>在满足实质性要求的前提下，投标人需根据项目情况制定详细的服务方案，包含：①对本项目的认识和分析；②投标人自身针对本项目的服务优势分析；③服务目标、内容及重点；</w:t>
            </w:r>
            <w:r>
              <w:rPr>
                <w:rFonts w:hint="eastAsia" w:ascii="Times New Roman" w:hAnsi="Times New Roman" w:eastAsia="仿宋_GB2312" w:cs="Times New Roman"/>
                <w:bCs/>
                <w:kern w:val="0"/>
                <w:sz w:val="24"/>
                <w:szCs w:val="24"/>
                <w:lang w:val="en-US" w:eastAsia="zh-CN"/>
              </w:rPr>
              <w:t>④</w:t>
            </w:r>
            <w:r>
              <w:rPr>
                <w:rFonts w:hint="eastAsia" w:ascii="Times New Roman" w:hAnsi="Times New Roman" w:eastAsia="仿宋_GB2312" w:cs="Times New Roman"/>
                <w:bCs/>
                <w:kern w:val="0"/>
                <w:sz w:val="24"/>
                <w:szCs w:val="24"/>
              </w:rPr>
              <w:t>人员分工；</w:t>
            </w:r>
            <w:r>
              <w:rPr>
                <w:rFonts w:hint="eastAsia" w:ascii="Times New Roman" w:hAnsi="Times New Roman" w:eastAsia="仿宋_GB2312" w:cs="Times New Roman"/>
                <w:bCs/>
                <w:kern w:val="0"/>
                <w:sz w:val="24"/>
                <w:szCs w:val="24"/>
                <w:lang w:val="en-US" w:eastAsia="zh-CN"/>
              </w:rPr>
              <w:t>⑤</w:t>
            </w:r>
            <w:r>
              <w:rPr>
                <w:rFonts w:hint="eastAsia" w:ascii="Times New Roman" w:hAnsi="Times New Roman" w:eastAsia="仿宋_GB2312" w:cs="Times New Roman"/>
                <w:bCs/>
                <w:kern w:val="0"/>
                <w:sz w:val="24"/>
                <w:szCs w:val="24"/>
              </w:rPr>
              <w:t>工作时间计划</w:t>
            </w:r>
            <w:r>
              <w:rPr>
                <w:rFonts w:hint="eastAsia" w:ascii="Times New Roman" w:hAnsi="Times New Roman" w:eastAsia="仿宋_GB2312" w:cs="Times New Roman"/>
                <w:bCs/>
                <w:kern w:val="0"/>
                <w:sz w:val="24"/>
                <w:szCs w:val="24"/>
                <w:lang w:eastAsia="zh-CN"/>
              </w:rPr>
              <w:t>；</w:t>
            </w:r>
          </w:p>
          <w:p w14:paraId="4E8B1B58">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lang w:val="en-US"/>
              </w:rPr>
            </w:pPr>
            <w:r>
              <w:rPr>
                <w:rFonts w:hint="default" w:ascii="Times New Roman" w:hAnsi="Times New Roman" w:eastAsia="仿宋_GB2312" w:cs="Times New Roman"/>
                <w:bCs/>
                <w:kern w:val="0"/>
                <w:sz w:val="24"/>
                <w:szCs w:val="24"/>
              </w:rPr>
              <w:t>2</w:t>
            </w:r>
            <w:r>
              <w:rPr>
                <w:rFonts w:hint="eastAsia" w:ascii="Times New Roman" w:hAnsi="Times New Roman" w:eastAsia="仿宋_GB2312" w:cs="Times New Roman"/>
                <w:bCs/>
                <w:kern w:val="0"/>
                <w:sz w:val="24"/>
                <w:szCs w:val="24"/>
                <w:lang w:val="en-US" w:eastAsia="zh-CN"/>
              </w:rPr>
              <w:t>.</w:t>
            </w:r>
            <w:r>
              <w:rPr>
                <w:rFonts w:hint="default" w:ascii="Times New Roman" w:hAnsi="Times New Roman" w:eastAsia="仿宋_GB2312" w:cs="Times New Roman"/>
                <w:bCs/>
                <w:kern w:val="0"/>
                <w:sz w:val="24"/>
                <w:szCs w:val="24"/>
              </w:rPr>
              <w:t>保障措施：</w:t>
            </w:r>
            <w:r>
              <w:rPr>
                <w:rFonts w:hint="eastAsia" w:ascii="Times New Roman" w:hAnsi="Times New Roman" w:eastAsia="仿宋_GB2312" w:cs="Times New Roman"/>
                <w:bCs/>
                <w:kern w:val="0"/>
                <w:sz w:val="24"/>
                <w:szCs w:val="24"/>
              </w:rPr>
              <w:t>在满足实质性要求的前提下，投标人需根据项目情况制定详细的工作质量控制措施，包含：①单位质量管理制度；②质量承诺；③保密方案；④资料管理方案</w:t>
            </w:r>
            <w:r>
              <w:rPr>
                <w:rFonts w:hint="eastAsia" w:ascii="Times New Roman" w:hAnsi="Times New Roman" w:eastAsia="仿宋_GB2312" w:cs="Times New Roman"/>
                <w:bCs/>
                <w:kern w:val="0"/>
                <w:sz w:val="24"/>
                <w:szCs w:val="24"/>
                <w:lang w:eastAsia="zh-CN"/>
              </w:rPr>
              <w:t>；</w:t>
            </w:r>
            <w:r>
              <w:rPr>
                <w:rFonts w:hint="eastAsia" w:ascii="Times New Roman" w:hAnsi="Times New Roman" w:eastAsia="仿宋_GB2312" w:cs="Times New Roman"/>
                <w:bCs/>
                <w:kern w:val="0"/>
                <w:sz w:val="24"/>
                <w:szCs w:val="24"/>
                <w:lang w:val="en-US" w:eastAsia="zh-CN"/>
              </w:rPr>
              <w:t>⑤时间控制方案。</w:t>
            </w:r>
          </w:p>
          <w:p w14:paraId="74CC5143">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完整提供上述方案且无缺陷的得</w:t>
            </w:r>
            <w:r>
              <w:rPr>
                <w:rFonts w:hint="eastAsia" w:ascii="Times New Roman" w:hAnsi="Times New Roman" w:eastAsia="仿宋_GB2312" w:cs="Times New Roman"/>
                <w:bCs/>
                <w:kern w:val="0"/>
                <w:sz w:val="24"/>
                <w:szCs w:val="24"/>
                <w:lang w:val="en-US" w:eastAsia="zh-CN"/>
              </w:rPr>
              <w:t>30</w:t>
            </w:r>
            <w:r>
              <w:rPr>
                <w:rFonts w:hint="eastAsia" w:ascii="Times New Roman" w:hAnsi="Times New Roman" w:eastAsia="仿宋_GB2312" w:cs="Times New Roman"/>
                <w:bCs/>
                <w:kern w:val="0"/>
                <w:sz w:val="24"/>
                <w:szCs w:val="24"/>
              </w:rPr>
              <w:t>分，缺一项扣</w:t>
            </w:r>
            <w:r>
              <w:rPr>
                <w:rFonts w:hint="eastAsia" w:ascii="Times New Roman" w:hAnsi="Times New Roman" w:eastAsia="仿宋_GB2312" w:cs="Times New Roman"/>
                <w:bCs/>
                <w:kern w:val="0"/>
                <w:sz w:val="24"/>
                <w:szCs w:val="24"/>
                <w:lang w:val="en-US" w:eastAsia="zh-CN"/>
              </w:rPr>
              <w:t>3</w:t>
            </w:r>
            <w:r>
              <w:rPr>
                <w:rFonts w:hint="eastAsia" w:ascii="Times New Roman" w:hAnsi="Times New Roman" w:eastAsia="仿宋_GB2312" w:cs="Times New Roman"/>
                <w:bCs/>
                <w:kern w:val="0"/>
                <w:sz w:val="24"/>
                <w:szCs w:val="24"/>
              </w:rPr>
              <w:t>分，扣完为止；单项内容每存在一处缺陷（缺陷是指：内容涉及的规范或标准错误、套用其他项目内容、内容与本项目无关、内容不利于项目实施的任意一种情形）扣</w:t>
            </w:r>
            <w:r>
              <w:rPr>
                <w:rFonts w:hint="eastAsia" w:ascii="Times New Roman" w:hAnsi="Times New Roman" w:eastAsia="仿宋_GB2312" w:cs="Times New Roman"/>
                <w:bCs/>
                <w:kern w:val="0"/>
                <w:sz w:val="24"/>
                <w:szCs w:val="24"/>
                <w:lang w:val="en-US" w:eastAsia="zh-CN"/>
              </w:rPr>
              <w:t>1.5</w:t>
            </w:r>
            <w:r>
              <w:rPr>
                <w:rFonts w:hint="eastAsia" w:ascii="Times New Roman" w:hAnsi="Times New Roman" w:eastAsia="仿宋_GB2312" w:cs="Times New Roman"/>
                <w:bCs/>
                <w:kern w:val="0"/>
                <w:sz w:val="24"/>
                <w:szCs w:val="24"/>
              </w:rPr>
              <w:t>分，单项内容分扣完为止。</w:t>
            </w:r>
          </w:p>
        </w:tc>
        <w:tc>
          <w:tcPr>
            <w:tcW w:w="149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781B9A63">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p>
        </w:tc>
      </w:tr>
      <w:tr w14:paraId="0D2A304A">
        <w:tblPrEx>
          <w:tblCellMar>
            <w:top w:w="0" w:type="dxa"/>
            <w:left w:w="0" w:type="dxa"/>
            <w:bottom w:w="0" w:type="dxa"/>
            <w:right w:w="0" w:type="dxa"/>
          </w:tblCellMar>
        </w:tblPrEx>
        <w:trPr>
          <w:trHeight w:val="2415" w:hRule="atLeast"/>
        </w:trPr>
        <w:tc>
          <w:tcPr>
            <w:tcW w:w="60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47DCC2">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3</w:t>
            </w:r>
          </w:p>
        </w:tc>
        <w:tc>
          <w:tcPr>
            <w:tcW w:w="131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8AE98FD">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人员配置</w:t>
            </w:r>
          </w:p>
        </w:tc>
        <w:tc>
          <w:tcPr>
            <w:tcW w:w="8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2A2AAA">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lang w:val="en-US" w:eastAsia="zh-CN"/>
              </w:rPr>
              <w:t>25</w:t>
            </w:r>
            <w:r>
              <w:rPr>
                <w:rFonts w:hint="eastAsia" w:ascii="Times New Roman" w:hAnsi="Times New Roman" w:eastAsia="仿宋_GB2312" w:cs="Times New Roman"/>
                <w:bCs/>
                <w:kern w:val="0"/>
                <w:sz w:val="24"/>
                <w:szCs w:val="24"/>
              </w:rPr>
              <w:t>分</w:t>
            </w:r>
          </w:p>
        </w:tc>
        <w:tc>
          <w:tcPr>
            <w:tcW w:w="607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D881AB6">
            <w:pPr>
              <w:keepNext w:val="0"/>
              <w:keepLines w:val="0"/>
              <w:pageBreakBefore w:val="0"/>
              <w:widowControl w:val="0"/>
              <w:numPr>
                <w:ilvl w:val="0"/>
                <w:numId w:val="0"/>
              </w:numPr>
              <w:kinsoku/>
              <w:wordWrap/>
              <w:overflowPunct/>
              <w:topLinePunct w:val="0"/>
              <w:autoSpaceDE/>
              <w:autoSpaceDN/>
              <w:bidi w:val="0"/>
              <w:spacing w:line="280" w:lineRule="exact"/>
              <w:jc w:val="left"/>
              <w:textAlignment w:val="auto"/>
              <w:rPr>
                <w:rFonts w:hint="default" w:ascii="Times New Roman" w:hAnsi="Times New Roman" w:eastAsia="仿宋_GB2312" w:cs="Times New Roman"/>
                <w:bCs/>
                <w:color w:val="000000" w:themeColor="text1"/>
                <w:kern w:val="0"/>
                <w:sz w:val="24"/>
                <w:szCs w:val="24"/>
              </w:rPr>
            </w:pPr>
            <w:r>
              <w:rPr>
                <w:rFonts w:hint="eastAsia" w:ascii="Times New Roman" w:hAnsi="Times New Roman" w:eastAsia="仿宋_GB2312" w:cs="Times New Roman"/>
                <w:bCs/>
                <w:color w:val="000000" w:themeColor="text1"/>
                <w:kern w:val="0"/>
                <w:sz w:val="24"/>
                <w:szCs w:val="24"/>
                <w:lang w:val="en-US" w:eastAsia="zh-CN"/>
              </w:rPr>
              <w:t>1.</w:t>
            </w:r>
            <w:r>
              <w:rPr>
                <w:rFonts w:hint="default" w:ascii="Times New Roman" w:hAnsi="Times New Roman" w:eastAsia="仿宋_GB2312" w:cs="Times New Roman"/>
                <w:bCs/>
                <w:color w:val="000000" w:themeColor="text1"/>
                <w:kern w:val="0"/>
                <w:sz w:val="24"/>
                <w:szCs w:val="24"/>
              </w:rPr>
              <w:t>项目负责人</w:t>
            </w:r>
            <w:r>
              <w:rPr>
                <w:rFonts w:hint="eastAsia" w:ascii="Times New Roman" w:hAnsi="Times New Roman" w:eastAsia="仿宋_GB2312" w:cs="Times New Roman"/>
                <w:bCs/>
                <w:color w:val="000000" w:themeColor="text1"/>
                <w:kern w:val="0"/>
                <w:sz w:val="24"/>
                <w:szCs w:val="24"/>
                <w:lang w:eastAsia="zh-CN"/>
              </w:rPr>
              <w:t>：</w:t>
            </w:r>
            <w:r>
              <w:rPr>
                <w:rFonts w:hint="eastAsia" w:ascii="Times New Roman" w:hAnsi="Times New Roman" w:eastAsia="仿宋_GB2312" w:cs="Times New Roman"/>
                <w:bCs/>
                <w:kern w:val="0"/>
                <w:sz w:val="24"/>
                <w:szCs w:val="24"/>
                <w:lang w:val="en-US" w:eastAsia="zh-CN"/>
              </w:rPr>
              <w:t>自</w:t>
            </w:r>
            <w:r>
              <w:rPr>
                <w:rFonts w:hint="eastAsia" w:ascii="Times New Roman" w:hAnsi="Times New Roman" w:eastAsia="仿宋_GB2312" w:cs="Times New Roman"/>
                <w:bCs/>
                <w:kern w:val="0"/>
                <w:sz w:val="24"/>
                <w:szCs w:val="24"/>
              </w:rPr>
              <w:t>202</w:t>
            </w:r>
            <w:r>
              <w:rPr>
                <w:rFonts w:hint="eastAsia" w:ascii="Times New Roman" w:hAnsi="Times New Roman" w:eastAsia="仿宋_GB2312" w:cs="Times New Roman"/>
                <w:bCs/>
                <w:kern w:val="0"/>
                <w:sz w:val="24"/>
                <w:szCs w:val="24"/>
                <w:lang w:val="en-US" w:eastAsia="zh-CN"/>
              </w:rPr>
              <w:t>3</w:t>
            </w:r>
            <w:r>
              <w:rPr>
                <w:rFonts w:hint="eastAsia" w:ascii="Times New Roman" w:hAnsi="Times New Roman" w:eastAsia="仿宋_GB2312" w:cs="Times New Roman"/>
                <w:bCs/>
                <w:kern w:val="0"/>
                <w:sz w:val="24"/>
                <w:szCs w:val="24"/>
              </w:rPr>
              <w:t>年来负责过三级公立医院审计业务的</w:t>
            </w:r>
            <w:r>
              <w:rPr>
                <w:rFonts w:hint="default" w:ascii="Times New Roman" w:hAnsi="Times New Roman" w:eastAsia="仿宋_GB2312" w:cs="Times New Roman"/>
                <w:bCs/>
                <w:color w:val="000000" w:themeColor="text1"/>
                <w:kern w:val="0"/>
                <w:sz w:val="24"/>
                <w:szCs w:val="24"/>
              </w:rPr>
              <w:t>，每有</w:t>
            </w:r>
            <w:r>
              <w:rPr>
                <w:rFonts w:hint="eastAsia" w:ascii="Times New Roman" w:hAnsi="Times New Roman" w:eastAsia="仿宋_GB2312" w:cs="Times New Roman"/>
                <w:bCs/>
                <w:color w:val="000000" w:themeColor="text1"/>
                <w:kern w:val="0"/>
                <w:sz w:val="24"/>
                <w:szCs w:val="24"/>
                <w:lang w:val="en-US" w:eastAsia="zh-CN"/>
              </w:rPr>
              <w:t>1</w:t>
            </w:r>
            <w:r>
              <w:rPr>
                <w:rFonts w:hint="default" w:ascii="Times New Roman" w:hAnsi="Times New Roman" w:eastAsia="仿宋_GB2312" w:cs="Times New Roman"/>
                <w:bCs/>
                <w:color w:val="000000" w:themeColor="text1"/>
                <w:kern w:val="0"/>
                <w:sz w:val="24"/>
                <w:szCs w:val="24"/>
              </w:rPr>
              <w:t>个工作经验得</w:t>
            </w:r>
            <w:r>
              <w:rPr>
                <w:rFonts w:hint="eastAsia" w:ascii="Times New Roman" w:hAnsi="Times New Roman" w:eastAsia="仿宋_GB2312" w:cs="Times New Roman"/>
                <w:bCs/>
                <w:color w:val="000000" w:themeColor="text1"/>
                <w:kern w:val="0"/>
                <w:sz w:val="24"/>
                <w:szCs w:val="24"/>
                <w:lang w:val="en-US" w:eastAsia="zh-CN"/>
              </w:rPr>
              <w:t>3</w:t>
            </w:r>
            <w:r>
              <w:rPr>
                <w:rFonts w:hint="default" w:ascii="Times New Roman" w:hAnsi="Times New Roman" w:eastAsia="仿宋_GB2312" w:cs="Times New Roman"/>
                <w:bCs/>
                <w:color w:val="000000" w:themeColor="text1"/>
                <w:kern w:val="0"/>
                <w:sz w:val="24"/>
                <w:szCs w:val="24"/>
              </w:rPr>
              <w:t>分，</w:t>
            </w:r>
            <w:r>
              <w:rPr>
                <w:rFonts w:hint="default" w:ascii="Times New Roman" w:hAnsi="Times New Roman" w:eastAsia="仿宋_GB2312" w:cs="Times New Roman"/>
                <w:bCs/>
                <w:color w:val="auto"/>
                <w:kern w:val="0"/>
                <w:sz w:val="24"/>
                <w:szCs w:val="24"/>
              </w:rPr>
              <w:t>本项满分</w:t>
            </w:r>
            <w:r>
              <w:rPr>
                <w:rFonts w:hint="eastAsia" w:ascii="Times New Roman" w:hAnsi="Times New Roman" w:eastAsia="仿宋_GB2312" w:cs="Times New Roman"/>
                <w:bCs/>
                <w:color w:val="auto"/>
                <w:kern w:val="0"/>
                <w:sz w:val="24"/>
                <w:szCs w:val="24"/>
                <w:lang w:val="en-US" w:eastAsia="zh-CN"/>
              </w:rPr>
              <w:t>12</w:t>
            </w:r>
            <w:r>
              <w:rPr>
                <w:rFonts w:hint="default" w:ascii="Times New Roman" w:hAnsi="Times New Roman" w:eastAsia="仿宋_GB2312" w:cs="Times New Roman"/>
                <w:bCs/>
                <w:color w:val="auto"/>
                <w:kern w:val="0"/>
                <w:sz w:val="24"/>
                <w:szCs w:val="24"/>
              </w:rPr>
              <w:t>分</w:t>
            </w:r>
            <w:r>
              <w:rPr>
                <w:rFonts w:hint="default" w:ascii="Times New Roman" w:hAnsi="Times New Roman" w:eastAsia="仿宋_GB2312" w:cs="Times New Roman"/>
                <w:bCs/>
                <w:color w:val="000000" w:themeColor="text1"/>
                <w:kern w:val="0"/>
                <w:sz w:val="24"/>
                <w:szCs w:val="24"/>
              </w:rPr>
              <w:t>；</w:t>
            </w:r>
          </w:p>
          <w:p w14:paraId="76BB1489">
            <w:pPr>
              <w:keepNext w:val="0"/>
              <w:keepLines w:val="0"/>
              <w:pageBreakBefore w:val="0"/>
              <w:widowControl w:val="0"/>
              <w:kinsoku/>
              <w:wordWrap/>
              <w:overflowPunct/>
              <w:topLinePunct w:val="0"/>
              <w:autoSpaceDE/>
              <w:autoSpaceDN/>
              <w:bidi w:val="0"/>
              <w:spacing w:line="280" w:lineRule="exact"/>
              <w:textAlignment w:val="auto"/>
              <w:rPr>
                <w:rFonts w:hint="eastAsia" w:ascii="Times New Roman" w:hAnsi="Times New Roman" w:eastAsia="仿宋_GB2312" w:cs="Times New Roman"/>
                <w:bCs/>
                <w:color w:val="auto"/>
                <w:kern w:val="0"/>
                <w:sz w:val="24"/>
                <w:szCs w:val="24"/>
                <w:lang w:eastAsia="zh-CN"/>
              </w:rPr>
            </w:pPr>
            <w:r>
              <w:rPr>
                <w:rFonts w:hint="eastAsia" w:ascii="Times New Roman" w:hAnsi="Times New Roman" w:eastAsia="仿宋_GB2312" w:cs="Times New Roman"/>
                <w:bCs/>
                <w:color w:val="000000" w:themeColor="text1"/>
                <w:kern w:val="0"/>
                <w:sz w:val="24"/>
                <w:szCs w:val="24"/>
                <w:lang w:val="en-US" w:eastAsia="zh-CN"/>
              </w:rPr>
              <w:t>2.</w:t>
            </w:r>
            <w:r>
              <w:rPr>
                <w:rFonts w:hint="default" w:ascii="Times New Roman" w:hAnsi="Times New Roman" w:eastAsia="仿宋_GB2312" w:cs="Times New Roman"/>
                <w:bCs/>
                <w:color w:val="000000" w:themeColor="text1"/>
                <w:kern w:val="0"/>
                <w:sz w:val="24"/>
                <w:szCs w:val="24"/>
              </w:rPr>
              <w:t>项</w:t>
            </w:r>
            <w:r>
              <w:rPr>
                <w:rFonts w:hint="default" w:ascii="Times New Roman" w:hAnsi="Times New Roman" w:eastAsia="仿宋_GB2312" w:cs="Times New Roman"/>
                <w:bCs/>
                <w:color w:val="auto"/>
                <w:kern w:val="0"/>
                <w:sz w:val="24"/>
                <w:szCs w:val="24"/>
              </w:rPr>
              <w:t>目负责人</w:t>
            </w:r>
            <w:r>
              <w:rPr>
                <w:rFonts w:hint="eastAsia" w:ascii="Times New Roman" w:hAnsi="Times New Roman" w:eastAsia="仿宋_GB2312" w:cs="Times New Roman"/>
                <w:bCs/>
                <w:color w:val="auto"/>
                <w:kern w:val="0"/>
                <w:sz w:val="24"/>
                <w:szCs w:val="24"/>
                <w:lang w:eastAsia="zh-CN"/>
              </w:rPr>
              <w:t>：</w:t>
            </w:r>
            <w:r>
              <w:rPr>
                <w:rFonts w:hint="default" w:ascii="Times New Roman" w:hAnsi="Times New Roman" w:eastAsia="仿宋_GB2312" w:cs="Times New Roman"/>
                <w:bCs/>
                <w:color w:val="auto"/>
                <w:kern w:val="0"/>
                <w:sz w:val="24"/>
                <w:szCs w:val="24"/>
              </w:rPr>
              <w:t>具有</w:t>
            </w:r>
            <w:r>
              <w:rPr>
                <w:rFonts w:hint="default" w:ascii="Times New Roman" w:hAnsi="Times New Roman" w:eastAsia="仿宋_GB2312" w:cs="Times New Roman"/>
                <w:b/>
                <w:bCs w:val="0"/>
                <w:color w:val="auto"/>
                <w:kern w:val="0"/>
                <w:sz w:val="24"/>
                <w:szCs w:val="24"/>
              </w:rPr>
              <w:t>注册会计师</w:t>
            </w:r>
            <w:r>
              <w:rPr>
                <w:rFonts w:hint="default" w:ascii="Times New Roman" w:hAnsi="Times New Roman" w:eastAsia="仿宋_GB2312" w:cs="Times New Roman"/>
                <w:bCs/>
                <w:color w:val="auto"/>
                <w:kern w:val="0"/>
                <w:sz w:val="24"/>
                <w:szCs w:val="24"/>
              </w:rPr>
              <w:t>证书的，得</w:t>
            </w:r>
            <w:r>
              <w:rPr>
                <w:rFonts w:hint="eastAsia" w:ascii="Times New Roman" w:hAnsi="Times New Roman" w:eastAsia="仿宋_GB2312" w:cs="Times New Roman"/>
                <w:bCs/>
                <w:color w:val="auto"/>
                <w:kern w:val="0"/>
                <w:sz w:val="24"/>
                <w:szCs w:val="24"/>
                <w:lang w:val="en-US" w:eastAsia="zh-CN"/>
              </w:rPr>
              <w:t>4</w:t>
            </w:r>
            <w:r>
              <w:rPr>
                <w:rFonts w:hint="default" w:ascii="Times New Roman" w:hAnsi="Times New Roman" w:eastAsia="仿宋_GB2312" w:cs="Times New Roman"/>
                <w:bCs/>
                <w:color w:val="auto"/>
                <w:kern w:val="0"/>
                <w:sz w:val="24"/>
                <w:szCs w:val="24"/>
              </w:rPr>
              <w:t>分；具有</w:t>
            </w:r>
            <w:r>
              <w:rPr>
                <w:rFonts w:hint="default" w:ascii="Times New Roman" w:hAnsi="Times New Roman" w:eastAsia="仿宋_GB2312" w:cs="Times New Roman"/>
                <w:b/>
                <w:bCs w:val="0"/>
                <w:color w:val="auto"/>
                <w:kern w:val="0"/>
                <w:sz w:val="24"/>
                <w:szCs w:val="24"/>
              </w:rPr>
              <w:t>高级职称</w:t>
            </w:r>
            <w:r>
              <w:rPr>
                <w:rFonts w:hint="default" w:ascii="Times New Roman" w:hAnsi="Times New Roman" w:eastAsia="仿宋_GB2312" w:cs="Times New Roman"/>
                <w:bCs/>
                <w:color w:val="auto"/>
                <w:kern w:val="0"/>
                <w:sz w:val="24"/>
                <w:szCs w:val="24"/>
              </w:rPr>
              <w:t>的（与本项目相关的职称证书，如财务类、审计类），得</w:t>
            </w:r>
            <w:r>
              <w:rPr>
                <w:rFonts w:hint="eastAsia" w:ascii="Times New Roman" w:hAnsi="Times New Roman" w:eastAsia="仿宋_GB2312" w:cs="Times New Roman"/>
                <w:bCs/>
                <w:color w:val="auto"/>
                <w:kern w:val="0"/>
                <w:sz w:val="24"/>
                <w:szCs w:val="24"/>
                <w:lang w:val="en-US" w:eastAsia="zh-CN"/>
              </w:rPr>
              <w:t>3</w:t>
            </w:r>
            <w:r>
              <w:rPr>
                <w:rFonts w:hint="default" w:ascii="Times New Roman" w:hAnsi="Times New Roman" w:eastAsia="仿宋_GB2312" w:cs="Times New Roman"/>
                <w:bCs/>
                <w:color w:val="auto"/>
                <w:kern w:val="0"/>
                <w:sz w:val="24"/>
                <w:szCs w:val="24"/>
              </w:rPr>
              <w:t>分</w:t>
            </w:r>
            <w:r>
              <w:rPr>
                <w:rFonts w:hint="eastAsia" w:ascii="Times New Roman" w:hAnsi="Times New Roman" w:eastAsia="仿宋_GB2312" w:cs="Times New Roman"/>
                <w:bCs/>
                <w:color w:val="auto"/>
                <w:kern w:val="0"/>
                <w:sz w:val="24"/>
                <w:szCs w:val="24"/>
                <w:lang w:eastAsia="zh-CN"/>
              </w:rPr>
              <w:t>，</w:t>
            </w:r>
            <w:r>
              <w:rPr>
                <w:rFonts w:hint="default" w:ascii="Times New Roman" w:hAnsi="Times New Roman" w:eastAsia="仿宋_GB2312" w:cs="Times New Roman"/>
                <w:bCs/>
                <w:color w:val="auto"/>
                <w:kern w:val="0"/>
                <w:sz w:val="24"/>
                <w:szCs w:val="24"/>
              </w:rPr>
              <w:t>本项满分</w:t>
            </w:r>
            <w:r>
              <w:rPr>
                <w:rFonts w:hint="eastAsia" w:ascii="Times New Roman" w:hAnsi="Times New Roman" w:eastAsia="仿宋_GB2312" w:cs="Times New Roman"/>
                <w:bCs/>
                <w:color w:val="auto"/>
                <w:kern w:val="0"/>
                <w:sz w:val="24"/>
                <w:szCs w:val="24"/>
                <w:lang w:val="en-US" w:eastAsia="zh-CN"/>
              </w:rPr>
              <w:t>7</w:t>
            </w:r>
            <w:r>
              <w:rPr>
                <w:rFonts w:hint="default" w:ascii="Times New Roman" w:hAnsi="Times New Roman" w:eastAsia="仿宋_GB2312" w:cs="Times New Roman"/>
                <w:bCs/>
                <w:color w:val="auto"/>
                <w:kern w:val="0"/>
                <w:sz w:val="24"/>
                <w:szCs w:val="24"/>
              </w:rPr>
              <w:t>分</w:t>
            </w:r>
            <w:r>
              <w:rPr>
                <w:rFonts w:hint="eastAsia" w:ascii="Times New Roman" w:hAnsi="Times New Roman" w:eastAsia="仿宋_GB2312" w:cs="Times New Roman"/>
                <w:bCs/>
                <w:color w:val="auto"/>
                <w:kern w:val="0"/>
                <w:sz w:val="24"/>
                <w:szCs w:val="24"/>
                <w:lang w:eastAsia="zh-CN"/>
              </w:rPr>
              <w:t>；</w:t>
            </w:r>
          </w:p>
          <w:p w14:paraId="022818CD">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color w:val="auto"/>
                <w:kern w:val="0"/>
                <w:sz w:val="24"/>
                <w:szCs w:val="24"/>
                <w:lang w:val="en-US" w:eastAsia="zh-CN"/>
              </w:rPr>
              <w:t>3</w:t>
            </w:r>
            <w:r>
              <w:rPr>
                <w:rFonts w:hint="default" w:ascii="Times New Roman" w:hAnsi="Times New Roman" w:eastAsia="仿宋_GB2312" w:cs="Times New Roman"/>
                <w:bCs/>
                <w:color w:val="auto"/>
                <w:kern w:val="0"/>
                <w:sz w:val="24"/>
                <w:szCs w:val="24"/>
              </w:rPr>
              <w:t>.项目组成员：每有1人具有</w:t>
            </w:r>
            <w:r>
              <w:rPr>
                <w:rFonts w:hint="default" w:ascii="Times New Roman" w:hAnsi="Times New Roman" w:eastAsia="仿宋_GB2312" w:cs="Times New Roman"/>
                <w:b/>
                <w:bCs w:val="0"/>
                <w:color w:val="auto"/>
                <w:kern w:val="0"/>
                <w:sz w:val="24"/>
                <w:szCs w:val="24"/>
              </w:rPr>
              <w:t>中级（含）以上职称</w:t>
            </w:r>
            <w:r>
              <w:rPr>
                <w:rFonts w:hint="default" w:ascii="Times New Roman" w:hAnsi="Times New Roman" w:eastAsia="仿宋_GB2312" w:cs="Times New Roman"/>
                <w:bCs/>
                <w:color w:val="auto"/>
                <w:kern w:val="0"/>
                <w:sz w:val="24"/>
                <w:szCs w:val="24"/>
              </w:rPr>
              <w:t>证书（与本项目相关的职称证书，如财务类、审计类）的得</w:t>
            </w:r>
            <w:r>
              <w:rPr>
                <w:rFonts w:hint="eastAsia" w:ascii="Times New Roman" w:hAnsi="Times New Roman" w:eastAsia="仿宋_GB2312" w:cs="Times New Roman"/>
                <w:bCs/>
                <w:color w:val="auto"/>
                <w:kern w:val="0"/>
                <w:sz w:val="24"/>
                <w:szCs w:val="24"/>
                <w:lang w:val="en-US" w:eastAsia="zh-CN"/>
              </w:rPr>
              <w:t>3</w:t>
            </w:r>
            <w:r>
              <w:rPr>
                <w:rFonts w:hint="default" w:ascii="Times New Roman" w:hAnsi="Times New Roman" w:eastAsia="仿宋_GB2312" w:cs="Times New Roman"/>
                <w:bCs/>
                <w:color w:val="auto"/>
                <w:kern w:val="0"/>
                <w:sz w:val="24"/>
                <w:szCs w:val="24"/>
              </w:rPr>
              <w:t>分，本项满分</w:t>
            </w:r>
            <w:r>
              <w:rPr>
                <w:rFonts w:hint="eastAsia" w:ascii="Times New Roman" w:hAnsi="Times New Roman" w:eastAsia="仿宋_GB2312" w:cs="Times New Roman"/>
                <w:bCs/>
                <w:color w:val="auto"/>
                <w:kern w:val="0"/>
                <w:sz w:val="24"/>
                <w:szCs w:val="24"/>
                <w:lang w:val="en-US" w:eastAsia="zh-CN"/>
              </w:rPr>
              <w:t>6</w:t>
            </w:r>
            <w:r>
              <w:rPr>
                <w:rFonts w:hint="default" w:ascii="Times New Roman" w:hAnsi="Times New Roman" w:eastAsia="仿宋_GB2312" w:cs="Times New Roman"/>
                <w:bCs/>
                <w:color w:val="auto"/>
                <w:kern w:val="0"/>
                <w:sz w:val="24"/>
                <w:szCs w:val="24"/>
              </w:rPr>
              <w:t>分</w:t>
            </w:r>
            <w:r>
              <w:rPr>
                <w:rFonts w:hint="default" w:ascii="Times New Roman" w:hAnsi="Times New Roman" w:eastAsia="仿宋_GB2312" w:cs="Times New Roman"/>
                <w:bCs/>
                <w:color w:val="000000" w:themeColor="text1"/>
                <w:kern w:val="0"/>
                <w:sz w:val="24"/>
                <w:szCs w:val="24"/>
              </w:rPr>
              <w:t>。</w:t>
            </w:r>
          </w:p>
        </w:tc>
        <w:tc>
          <w:tcPr>
            <w:tcW w:w="149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4575FCF">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提供相关证明材料复印件盖公章</w:t>
            </w:r>
          </w:p>
        </w:tc>
      </w:tr>
      <w:tr w14:paraId="4C4B57FA">
        <w:tblPrEx>
          <w:tblCellMar>
            <w:top w:w="0" w:type="dxa"/>
            <w:left w:w="0" w:type="dxa"/>
            <w:bottom w:w="0" w:type="dxa"/>
            <w:right w:w="0" w:type="dxa"/>
          </w:tblCellMar>
        </w:tblPrEx>
        <w:trPr>
          <w:trHeight w:val="775" w:hRule="atLeast"/>
        </w:trPr>
        <w:tc>
          <w:tcPr>
            <w:tcW w:w="60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04014F">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4</w:t>
            </w:r>
          </w:p>
        </w:tc>
        <w:tc>
          <w:tcPr>
            <w:tcW w:w="131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FF044B8">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履约能力</w:t>
            </w:r>
          </w:p>
        </w:tc>
        <w:tc>
          <w:tcPr>
            <w:tcW w:w="8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40DB35">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lang w:val="en-US" w:eastAsia="zh-CN"/>
              </w:rPr>
              <w:t>10</w:t>
            </w:r>
            <w:r>
              <w:rPr>
                <w:rFonts w:hint="eastAsia" w:ascii="Times New Roman" w:hAnsi="Times New Roman" w:eastAsia="仿宋_GB2312" w:cs="Times New Roman"/>
                <w:bCs/>
                <w:kern w:val="0"/>
                <w:sz w:val="24"/>
                <w:szCs w:val="24"/>
              </w:rPr>
              <w:t>分</w:t>
            </w:r>
          </w:p>
        </w:tc>
        <w:tc>
          <w:tcPr>
            <w:tcW w:w="607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075EB6">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default" w:ascii="Times New Roman" w:hAnsi="Times New Roman" w:eastAsia="仿宋_GB2312" w:cs="Times New Roman"/>
                <w:bCs/>
                <w:kern w:val="0"/>
                <w:sz w:val="24"/>
                <w:szCs w:val="24"/>
              </w:rPr>
              <w:t>根据202</w:t>
            </w:r>
            <w:r>
              <w:rPr>
                <w:rFonts w:hint="eastAsia" w:ascii="Times New Roman" w:hAnsi="Times New Roman" w:eastAsia="仿宋_GB2312" w:cs="Times New Roman"/>
                <w:bCs/>
                <w:kern w:val="0"/>
                <w:sz w:val="24"/>
                <w:szCs w:val="24"/>
                <w:lang w:val="en-US" w:eastAsia="zh-CN"/>
              </w:rPr>
              <w:t>5</w:t>
            </w:r>
            <w:r>
              <w:rPr>
                <w:rFonts w:hint="default" w:ascii="Times New Roman" w:hAnsi="Times New Roman" w:eastAsia="仿宋_GB2312" w:cs="Times New Roman"/>
                <w:bCs/>
                <w:kern w:val="0"/>
                <w:sz w:val="24"/>
                <w:szCs w:val="24"/>
              </w:rPr>
              <w:t>年省</w:t>
            </w:r>
            <w:r>
              <w:rPr>
                <w:rFonts w:hint="eastAsia" w:ascii="Times New Roman" w:hAnsi="Times New Roman" w:eastAsia="仿宋_GB2312" w:cs="Times New Roman"/>
                <w:bCs/>
                <w:kern w:val="0"/>
                <w:sz w:val="24"/>
                <w:szCs w:val="24"/>
                <w:lang w:val="en-US" w:eastAsia="zh-CN"/>
              </w:rPr>
              <w:t>级</w:t>
            </w:r>
            <w:r>
              <w:rPr>
                <w:rFonts w:hint="default" w:ascii="Times New Roman" w:hAnsi="Times New Roman" w:eastAsia="仿宋_GB2312" w:cs="Times New Roman"/>
                <w:bCs/>
                <w:kern w:val="0"/>
                <w:sz w:val="24"/>
                <w:szCs w:val="24"/>
              </w:rPr>
              <w:t>会计师事务所分类情况，供应商为AAAAA级的得</w:t>
            </w:r>
            <w:r>
              <w:rPr>
                <w:rFonts w:hint="eastAsia" w:ascii="Times New Roman" w:hAnsi="Times New Roman" w:eastAsia="仿宋_GB2312" w:cs="Times New Roman"/>
                <w:bCs/>
                <w:kern w:val="0"/>
                <w:sz w:val="24"/>
                <w:szCs w:val="24"/>
                <w:lang w:val="en-US" w:eastAsia="zh-CN"/>
              </w:rPr>
              <w:t>10</w:t>
            </w:r>
            <w:r>
              <w:rPr>
                <w:rFonts w:hint="default" w:ascii="Times New Roman" w:hAnsi="Times New Roman" w:eastAsia="仿宋_GB2312" w:cs="Times New Roman"/>
                <w:bCs/>
                <w:kern w:val="0"/>
                <w:sz w:val="24"/>
                <w:szCs w:val="24"/>
              </w:rPr>
              <w:t>分；AAAA级得</w:t>
            </w:r>
            <w:r>
              <w:rPr>
                <w:rFonts w:hint="eastAsia" w:ascii="Times New Roman" w:hAnsi="Times New Roman" w:eastAsia="仿宋_GB2312" w:cs="Times New Roman"/>
                <w:bCs/>
                <w:kern w:val="0"/>
                <w:sz w:val="24"/>
                <w:szCs w:val="24"/>
                <w:lang w:val="en-US" w:eastAsia="zh-CN"/>
              </w:rPr>
              <w:t>8</w:t>
            </w:r>
            <w:r>
              <w:rPr>
                <w:rFonts w:hint="default" w:ascii="Times New Roman" w:hAnsi="Times New Roman" w:eastAsia="仿宋_GB2312" w:cs="Times New Roman"/>
                <w:bCs/>
                <w:kern w:val="0"/>
                <w:sz w:val="24"/>
                <w:szCs w:val="24"/>
              </w:rPr>
              <w:t>分；AAA级得</w:t>
            </w:r>
            <w:r>
              <w:rPr>
                <w:rFonts w:hint="eastAsia" w:ascii="Times New Roman" w:hAnsi="Times New Roman" w:eastAsia="仿宋_GB2312" w:cs="Times New Roman"/>
                <w:bCs/>
                <w:kern w:val="0"/>
                <w:sz w:val="24"/>
                <w:szCs w:val="24"/>
                <w:lang w:val="en-US" w:eastAsia="zh-CN"/>
              </w:rPr>
              <w:t>6</w:t>
            </w:r>
            <w:r>
              <w:rPr>
                <w:rFonts w:hint="default" w:ascii="Times New Roman" w:hAnsi="Times New Roman" w:eastAsia="仿宋_GB2312" w:cs="Times New Roman"/>
                <w:bCs/>
                <w:kern w:val="0"/>
                <w:sz w:val="24"/>
                <w:szCs w:val="24"/>
              </w:rPr>
              <w:t>分；AA级得</w:t>
            </w:r>
            <w:r>
              <w:rPr>
                <w:rFonts w:hint="eastAsia" w:ascii="Times New Roman" w:hAnsi="Times New Roman" w:eastAsia="仿宋_GB2312" w:cs="Times New Roman"/>
                <w:bCs/>
                <w:kern w:val="0"/>
                <w:sz w:val="24"/>
                <w:szCs w:val="24"/>
                <w:lang w:val="en-US" w:eastAsia="zh-CN"/>
              </w:rPr>
              <w:t>4</w:t>
            </w:r>
            <w:r>
              <w:rPr>
                <w:rFonts w:hint="default" w:ascii="Times New Roman" w:hAnsi="Times New Roman" w:eastAsia="仿宋_GB2312" w:cs="Times New Roman"/>
                <w:bCs/>
                <w:kern w:val="0"/>
                <w:sz w:val="24"/>
                <w:szCs w:val="24"/>
              </w:rPr>
              <w:t>分</w:t>
            </w:r>
            <w:r>
              <w:rPr>
                <w:rFonts w:hint="eastAsia" w:ascii="Times New Roman" w:hAnsi="Times New Roman" w:eastAsia="仿宋_GB2312" w:cs="Times New Roman"/>
                <w:bCs/>
                <w:kern w:val="0"/>
                <w:sz w:val="24"/>
                <w:szCs w:val="24"/>
                <w:lang w:eastAsia="zh-CN"/>
              </w:rPr>
              <w:t>；</w:t>
            </w:r>
            <w:r>
              <w:rPr>
                <w:rFonts w:hint="default" w:ascii="Times New Roman" w:hAnsi="Times New Roman" w:eastAsia="仿宋_GB2312" w:cs="Times New Roman"/>
                <w:bCs/>
                <w:kern w:val="0"/>
                <w:sz w:val="24"/>
                <w:szCs w:val="24"/>
              </w:rPr>
              <w:t>A级得</w:t>
            </w:r>
            <w:r>
              <w:rPr>
                <w:rFonts w:hint="eastAsia" w:ascii="Times New Roman" w:hAnsi="Times New Roman" w:eastAsia="仿宋_GB2312" w:cs="Times New Roman"/>
                <w:bCs/>
                <w:kern w:val="0"/>
                <w:sz w:val="24"/>
                <w:szCs w:val="24"/>
                <w:lang w:val="en-US" w:eastAsia="zh-CN"/>
              </w:rPr>
              <w:t>2</w:t>
            </w:r>
            <w:r>
              <w:rPr>
                <w:rFonts w:hint="default" w:ascii="Times New Roman" w:hAnsi="Times New Roman" w:eastAsia="仿宋_GB2312" w:cs="Times New Roman"/>
                <w:bCs/>
                <w:kern w:val="0"/>
                <w:sz w:val="24"/>
                <w:szCs w:val="24"/>
              </w:rPr>
              <w:t xml:space="preserve">分。 </w:t>
            </w:r>
          </w:p>
        </w:tc>
        <w:tc>
          <w:tcPr>
            <w:tcW w:w="149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E6786D">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提供复印件（或网页截图）盖公章</w:t>
            </w:r>
          </w:p>
        </w:tc>
      </w:tr>
      <w:tr w14:paraId="45F24D12">
        <w:tblPrEx>
          <w:tblCellMar>
            <w:top w:w="0" w:type="dxa"/>
            <w:left w:w="0" w:type="dxa"/>
            <w:bottom w:w="0" w:type="dxa"/>
            <w:right w:w="0" w:type="dxa"/>
          </w:tblCellMar>
        </w:tblPrEx>
        <w:trPr>
          <w:trHeight w:val="775" w:hRule="atLeast"/>
        </w:trPr>
        <w:tc>
          <w:tcPr>
            <w:tcW w:w="60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2C4D55C">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5</w:t>
            </w:r>
          </w:p>
        </w:tc>
        <w:tc>
          <w:tcPr>
            <w:tcW w:w="131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437003">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业绩</w:t>
            </w:r>
          </w:p>
        </w:tc>
        <w:tc>
          <w:tcPr>
            <w:tcW w:w="8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568D5D">
            <w:pPr>
              <w:keepNext w:val="0"/>
              <w:keepLines w:val="0"/>
              <w:pageBreakBefore w:val="0"/>
              <w:widowControl w:val="0"/>
              <w:shd w:val="clear" w:color="auto"/>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Times New Roman"/>
                <w:bCs/>
                <w:kern w:val="0"/>
                <w:sz w:val="24"/>
                <w:szCs w:val="24"/>
                <w:lang w:val="en-US" w:eastAsia="zh-CN"/>
              </w:rPr>
            </w:pPr>
            <w:r>
              <w:rPr>
                <w:rFonts w:hint="eastAsia" w:ascii="Times New Roman" w:hAnsi="Times New Roman" w:eastAsia="仿宋_GB2312" w:cs="Times New Roman"/>
                <w:bCs/>
                <w:kern w:val="0"/>
                <w:sz w:val="24"/>
                <w:szCs w:val="24"/>
                <w:lang w:val="en-US" w:eastAsia="zh-CN"/>
              </w:rPr>
              <w:t>15</w:t>
            </w:r>
            <w:r>
              <w:rPr>
                <w:rFonts w:hint="eastAsia" w:ascii="Times New Roman" w:hAnsi="Times New Roman" w:eastAsia="仿宋_GB2312" w:cs="Times New Roman"/>
                <w:bCs/>
                <w:kern w:val="0"/>
                <w:sz w:val="24"/>
                <w:szCs w:val="24"/>
              </w:rPr>
              <w:t>分</w:t>
            </w:r>
          </w:p>
        </w:tc>
        <w:tc>
          <w:tcPr>
            <w:tcW w:w="607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F97C84E">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供应商202</w:t>
            </w:r>
            <w:r>
              <w:rPr>
                <w:rFonts w:hint="eastAsia" w:ascii="Times New Roman" w:hAnsi="Times New Roman" w:eastAsia="仿宋_GB2312" w:cs="Times New Roman"/>
                <w:bCs/>
                <w:kern w:val="0"/>
                <w:sz w:val="24"/>
                <w:szCs w:val="24"/>
                <w:lang w:val="en-US" w:eastAsia="zh-CN"/>
              </w:rPr>
              <w:t>3</w:t>
            </w:r>
            <w:r>
              <w:rPr>
                <w:rFonts w:hint="eastAsia" w:ascii="Times New Roman" w:hAnsi="Times New Roman" w:eastAsia="仿宋_GB2312" w:cs="Times New Roman"/>
                <w:bCs/>
                <w:kern w:val="0"/>
                <w:sz w:val="24"/>
                <w:szCs w:val="24"/>
              </w:rPr>
              <w:t>年以来，具有三级公立医院审计业绩的，每个业绩的加</w:t>
            </w:r>
            <w:r>
              <w:rPr>
                <w:rFonts w:hint="eastAsia" w:ascii="Times New Roman" w:hAnsi="Times New Roman" w:eastAsia="仿宋_GB2312" w:cs="Times New Roman"/>
                <w:bCs/>
                <w:kern w:val="0"/>
                <w:sz w:val="24"/>
                <w:szCs w:val="24"/>
                <w:lang w:val="en-US" w:eastAsia="zh-CN"/>
              </w:rPr>
              <w:t>5</w:t>
            </w:r>
            <w:r>
              <w:rPr>
                <w:rFonts w:hint="eastAsia" w:ascii="Times New Roman" w:hAnsi="Times New Roman" w:eastAsia="仿宋_GB2312" w:cs="Times New Roman"/>
                <w:bCs/>
                <w:kern w:val="0"/>
                <w:sz w:val="24"/>
                <w:szCs w:val="24"/>
              </w:rPr>
              <w:t>分。</w:t>
            </w:r>
          </w:p>
        </w:tc>
        <w:tc>
          <w:tcPr>
            <w:tcW w:w="149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249317">
            <w:pPr>
              <w:keepNext w:val="0"/>
              <w:keepLines w:val="0"/>
              <w:pageBreakBefore w:val="0"/>
              <w:widowControl w:val="0"/>
              <w:shd w:val="clear" w:color="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提供合同或发票复印件盖公章</w:t>
            </w:r>
          </w:p>
        </w:tc>
      </w:tr>
    </w:tbl>
    <w:p w14:paraId="2D809AFE">
      <w:pPr>
        <w:pStyle w:val="5"/>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 w:val="0"/>
          <w:bCs/>
          <w:color w:val="auto"/>
          <w:kern w:val="2"/>
          <w:sz w:val="32"/>
          <w:szCs w:val="32"/>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altName w:val="微软雅黑"/>
    <w:panose1 w:val="02000000000000000000"/>
    <w:charset w:val="86"/>
    <w:family w:val="auto"/>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D9A"/>
    <w:rsid w:val="000E3091"/>
    <w:rsid w:val="000E6B3F"/>
    <w:rsid w:val="001136C4"/>
    <w:rsid w:val="00122AED"/>
    <w:rsid w:val="00125FB4"/>
    <w:rsid w:val="00185E25"/>
    <w:rsid w:val="001D278B"/>
    <w:rsid w:val="001D4A47"/>
    <w:rsid w:val="002D29B1"/>
    <w:rsid w:val="00367407"/>
    <w:rsid w:val="00372C5E"/>
    <w:rsid w:val="003C5126"/>
    <w:rsid w:val="003D6F11"/>
    <w:rsid w:val="003E4EB4"/>
    <w:rsid w:val="0044429F"/>
    <w:rsid w:val="00481F15"/>
    <w:rsid w:val="004F3B7B"/>
    <w:rsid w:val="005016BD"/>
    <w:rsid w:val="005A2F47"/>
    <w:rsid w:val="005C030F"/>
    <w:rsid w:val="005F13D0"/>
    <w:rsid w:val="00625E91"/>
    <w:rsid w:val="00632FCB"/>
    <w:rsid w:val="00637D9A"/>
    <w:rsid w:val="006D7FD8"/>
    <w:rsid w:val="006F050D"/>
    <w:rsid w:val="00715579"/>
    <w:rsid w:val="007539D8"/>
    <w:rsid w:val="007611C8"/>
    <w:rsid w:val="007D44EB"/>
    <w:rsid w:val="007F57F3"/>
    <w:rsid w:val="008A6056"/>
    <w:rsid w:val="008B7B88"/>
    <w:rsid w:val="009C5B5C"/>
    <w:rsid w:val="00A006BB"/>
    <w:rsid w:val="00A02AE4"/>
    <w:rsid w:val="00A36426"/>
    <w:rsid w:val="00B420FD"/>
    <w:rsid w:val="00B475BE"/>
    <w:rsid w:val="00B52C3A"/>
    <w:rsid w:val="00B73AD0"/>
    <w:rsid w:val="00B73F9D"/>
    <w:rsid w:val="00BA37C0"/>
    <w:rsid w:val="00BF370F"/>
    <w:rsid w:val="00C071A5"/>
    <w:rsid w:val="00CD7C24"/>
    <w:rsid w:val="00CE2CE8"/>
    <w:rsid w:val="00CF7248"/>
    <w:rsid w:val="00D23CF3"/>
    <w:rsid w:val="00D81853"/>
    <w:rsid w:val="00DA2E4D"/>
    <w:rsid w:val="00E12AB6"/>
    <w:rsid w:val="00E7383E"/>
    <w:rsid w:val="00F329B4"/>
    <w:rsid w:val="00F33256"/>
    <w:rsid w:val="00F53C5B"/>
    <w:rsid w:val="00F93721"/>
    <w:rsid w:val="03832DB2"/>
    <w:rsid w:val="069C7A58"/>
    <w:rsid w:val="078D279D"/>
    <w:rsid w:val="09315959"/>
    <w:rsid w:val="094475ED"/>
    <w:rsid w:val="0B480A15"/>
    <w:rsid w:val="1F7D72D4"/>
    <w:rsid w:val="21AD083C"/>
    <w:rsid w:val="22BA3705"/>
    <w:rsid w:val="293E5BA2"/>
    <w:rsid w:val="2D041486"/>
    <w:rsid w:val="3BDC69FF"/>
    <w:rsid w:val="3F1556CD"/>
    <w:rsid w:val="42BB46D3"/>
    <w:rsid w:val="431516A7"/>
    <w:rsid w:val="4556777A"/>
    <w:rsid w:val="46616718"/>
    <w:rsid w:val="47A345EF"/>
    <w:rsid w:val="47F93FDF"/>
    <w:rsid w:val="4DCD1579"/>
    <w:rsid w:val="539A3A67"/>
    <w:rsid w:val="5B872739"/>
    <w:rsid w:val="5D6E60D0"/>
    <w:rsid w:val="5D867B94"/>
    <w:rsid w:val="62690C66"/>
    <w:rsid w:val="63404D46"/>
    <w:rsid w:val="63BF0040"/>
    <w:rsid w:val="6573344C"/>
    <w:rsid w:val="688C5A83"/>
    <w:rsid w:val="68ED2281"/>
    <w:rsid w:val="69541B13"/>
    <w:rsid w:val="697E6899"/>
    <w:rsid w:val="6ACF78B2"/>
    <w:rsid w:val="6B3A0CD4"/>
    <w:rsid w:val="6F204E34"/>
    <w:rsid w:val="717D0C9B"/>
    <w:rsid w:val="71EA67C2"/>
    <w:rsid w:val="76FA50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line="315" w:lineRule="atLeast"/>
      <w:jc w:val="left"/>
      <w:outlineLvl w:val="0"/>
    </w:pPr>
    <w:rPr>
      <w:rFonts w:hint="eastAsia" w:ascii="宋体" w:hAnsi="宋体" w:eastAsia="宋体" w:cs="Times New Roman"/>
      <w:kern w:val="44"/>
      <w:sz w:val="39"/>
      <w:szCs w:val="39"/>
    </w:rPr>
  </w:style>
  <w:style w:type="paragraph" w:styleId="2">
    <w:name w:val="heading 2"/>
    <w:basedOn w:val="1"/>
    <w:next w:val="1"/>
    <w:qFormat/>
    <w:uiPriority w:val="0"/>
    <w:pPr>
      <w:spacing w:line="590" w:lineRule="exact"/>
      <w:ind w:firstLine="883" w:firstLineChars="200"/>
      <w:jc w:val="left"/>
      <w:outlineLvl w:val="1"/>
    </w:pPr>
    <w:rPr>
      <w:rFonts w:hint="eastAsia" w:ascii="Times New Roman" w:hAnsi="Times New Roman" w:eastAsia="方正楷体_GBK" w:cs="Times New Roman"/>
      <w:b/>
      <w:bCs/>
      <w:kern w:val="0"/>
      <w:sz w:val="34"/>
      <w:szCs w:val="34"/>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line="480" w:lineRule="exact"/>
    </w:pPr>
    <w:rPr>
      <w:rFonts w:ascii="仿宋_GB2312" w:eastAsia="仿宋_GB2312"/>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2321</Words>
  <Characters>2386</Characters>
  <Lines>10</Lines>
  <Paragraphs>2</Paragraphs>
  <TotalTime>5</TotalTime>
  <ScaleCrop>false</ScaleCrop>
  <LinksUpToDate>false</LinksUpToDate>
  <CharactersWithSpaces>2387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dc:creator>
  <cp:lastModifiedBy>小炜</cp:lastModifiedBy>
  <cp:lastPrinted>2025-06-03T03:25:00Z</cp:lastPrinted>
  <dcterms:modified xsi:type="dcterms:W3CDTF">2026-08-02T00:16:48Z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eyJoZGlkIjoiZWMxMTgyZDFkMGQ3NGNjMmExNDY1YWUyZjMyY2Q5ZTUiLCJ1c2VySWQiOiIyODAzNzM1MDEifQ==</vt:lpwstr>
  </property>
  <property fmtid="{D5CDD505-2E9C-101B-9397-08002B2CF9AE}" pid="4" name="ICV">
    <vt:lpwstr>833F70A4F79E47AB87E00312703FC50E_13</vt:lpwstr>
  </property>
</Properties>
</file>