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left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附件：</w:t>
      </w: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病床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清单及参数要求</w:t>
      </w:r>
    </w:p>
    <w:tbl>
      <w:tblPr>
        <w:tblStyle w:val="11"/>
        <w:tblW w:w="138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98"/>
        <w:gridCol w:w="8954"/>
        <w:gridCol w:w="911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79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产品名称</w:t>
            </w:r>
          </w:p>
        </w:tc>
        <w:tc>
          <w:tcPr>
            <w:tcW w:w="89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参数要求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单位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79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普通病床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（含床头柜）</w:t>
            </w:r>
          </w:p>
        </w:tc>
        <w:tc>
          <w:tcPr>
            <w:tcW w:w="8954" w:type="dxa"/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一、病床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尺寸规格：外形尺寸：2150*1080*500/700mm（±5%），符合常见病床尺寸范围。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床头床尾板：采用ABS工程塑料，一次性注塑成型，强度高、韧性好，在不借助任何工具的情况下可自由拆卸，床尾带一次性成型病历卡座。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护栏：铝合金护栏采用专用铝型材料，厚达1.0mm，护栏自锁机构隐藏式枪把，D型铝合金扶手，表面硬化处理，六支护栏支柱，耐磨、不易变形，可收缩平放，单触点式手柄操作，升降灵活安全。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升降丝杆：采用45#钢挤压成型，使用过盈打滑保护装置，并有防护装置不积尘，摇把为金属摇把（或ABS工程塑料，可折叠隐藏），经久耐用。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床面板：材质为1.0mm厚冷轧钢条板，整体冲压而成，美观大气，承重力强（不低于200公斤），表面光滑并带有透气孔，保证病人的舒适性。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床架：钢制床架，材质为1.00mm厚优质冷轧钢管，床框采用30mm×60mm×1.0mm碳钢矩管，床脚大架采用30mm×50mm×1.0mm的碳钢管，使床体与床脚之间连接更加稳固可靠。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脚架：采用优质冷轧钢制造，床面外框架采用50×25×1.5mm冷轧钢管。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床面：采用抑菌耐磨超纤皮革或抑菌布绒饰面（中标后根据实际需求选择一种）。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功能：背部抬起角度：75°±10°，满足患者体位变换需求。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移动与制动：配备5寸双面静音轮，移动灵活，制动稳定。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有害物质限量：甲醛、苯、甲苯、二甲苯、TVOC等有害物质未检出或符合相关环保标准限量要求。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结构安全：所有边角进行倒圆处理，倒圆半径不小于规定值，剪切和挤压点防护措施到位，孔及间隙安全尺寸符合标准。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二、床头柜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主材质：面材：采用优质E0级实木颗粒板；基材：采用E0级实木多层板，符合GB 28008—2024和GB 18584—2024标准；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配置：一抽一柜，两侧带毛巾挂杆，所有边角进行倒圆处理，倒圆半径不小于0.5mm；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活动部件：配备防脱落装置或带有不小于5号黑体字的永久性警示标识；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剪切和挤压点防护：活动部件运行形成的可接触间隙尺寸小于7mm；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稳定性：按照GB 28008—2024标准进行稳定性试验，结果合格；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封边：选用优质PVC封边条，封边平滑，颜色与板材一致，采用全自动封边工艺，防水、防潮、不变色；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五金配件：采用优质品牌五金配件，无锈蚀，具有足够的承载能力、耐腐蚀能力，符合GB 28008—2024标准；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板材厚度：层板厚度为25mm，面板、侧板、门板、抽面厚度为16mm，宽度、长度允许偏差±1.5mm，含水率≤8%；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表面性能：表面胶合强度≥1.0MPa，表面耐磨磨耗值≤50mg/100r，表面耐香烟灼烧达到4级，甲醛释放限量（1m³气候箱法） ≤0.015mg/m³ ，挥发性有机化合物（苯、甲苯、二甲苯）未检出，总挥发性有机化合物符合GB 18584—2024标准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179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儿童病床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（含床头柜）</w:t>
            </w:r>
          </w:p>
        </w:tc>
        <w:tc>
          <w:tcPr>
            <w:tcW w:w="8954" w:type="dxa"/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一、病床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外形尺寸：1800mm（长）*800mm（宽）*400mm/600mm（高）（±5%）。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床头床尾板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材质：采用ABS工程塑料，一次性注塑成型，确保强度高、韧性好。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设计：床头床尾板设计有可爱的卡通图案或色彩，以营造温馨、友好的氛围，减轻儿童患者的恐惧感。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功能：在不借助任何工具的情况下可自由拆卸，床尾带一次性成型病历卡座，方便医护人员记录和查看儿童患者的信息。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护栏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材质：铝合金护栏，采用专用铝型材料，厚达1.0mm，确保结构稳固。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设计：护栏自锁机构采用隐藏式设计，形状类似儿童喜爱的玩具把手，如圆形或动物形状，增加趣味性。D型铝合金扶手，表面进行硬化处理，六支护栏支柱均匀分布，耐磨、不易变形。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功能：护栏可收缩平放，单触点式手柄操作，升降灵活安全，方便儿童上下床及家长照顾。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升降丝杆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材质：采用45#钢挤压成型，使用过盈打滑保护装置，并有防护装置防止积尘。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摇把：金属摇把，设计小巧轻便，适合儿童病房环境使用，经久耐用。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床面板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材质：1.0mm厚冷轧钢条板，整体冲压而成，确保美观大气。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承重：承重力强（不低于150公斤）。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表面处理：表面光滑并带有透气孔，保证儿童患者的舒适性。同时，可在床面板上铺设柔软的垫子，增加舒适度。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床架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材质：钢制床架，采用1.00mm厚优质冷轧钢管。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结构：床框采用25mm×40mm×1.0mm碳钢矩管，床脚大架采用25mm×40mm×1.0mm的碳钢管，确保床体与床脚之间连接稳固可靠。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设计：床架结构简洁，边角圆润，避免儿童碰撞受伤。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脚架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材质：采用优质冷轧钢制造，床面外框架采用40×20×1.5mm冷轧钢管，确保结构稳固。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设计：脚架设计可调节高度，以适应不同年龄段儿童的身高需求。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床面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材质：采用抑菌耐磨超纤皮革或抑菌布绒饰面，确保床面柔软、舒适且易于清洁。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设计：床面可设计有可爱的图案或色彩，与床头床尾板相呼应，营造整体温馨的氛围。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功能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背部抬起角度：60°±10°，满足儿童患者体位变换需求，同时考虑儿童身体发育特点，角度设置更为适宜。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移动与制动：配备4寸双面静音轮，移动灵活且制动稳定，确保儿童在床上的安全。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有害物质限量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甲醛、苯、甲苯、二甲苯、TVOC等有害物质未检出或符合相关环保标准限量要求，确保儿童患者的健康安全。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结构安全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所有边角进行倒圆处理，倒圆半径不小于规定值，确保儿童不会因碰撞而受伤。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剪切和挤压点防护措施到位，孔及间隙安全尺寸符合标准，防止儿童手指或其他部位被卡住。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床体结构稳固，能够承受儿童在床上的各种活动，确保使用安全。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二、床头柜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主材质：面材：采用优质E0级实木颗粒板；基材：采用E0级实木多层板，符合GB 28008—2024和GB 18584—2024标准；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配置：一抽一柜，两侧带毛巾挂杆，所有边角进行倒圆处理，倒圆半径不小于0.5mm；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活动部件：配备防脱落装置或带有不小于5号黑体字的永久性警示标识；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剪切和挤压点防护：活动部件运行形成的可接触间隙尺寸小于7mm；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稳定性：按照GB 28008—2024标准进行稳定性试验，结果合格；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封边：选用优质PVC封边条，封边平滑，颜色与板材一致，采用全自动封边工艺，防水、防潮、不变色；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五金配件：采用优质品牌五金配件，无锈蚀，具有足够的承载能力、耐腐蚀能力，符合GB 28008—2024标准；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板材厚度：层板厚度为25mm，面板、侧板、门板、抽面厚度为16mm，宽度、长度允许偏差±1.5mm，含水率≤8%；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表面性能：表面胶合强度≥1.0MPa，表面耐磨磨耗值≤50mg/100r，表面耐香烟灼烧达到4级，甲醛释放限量（1m³气候箱法） ≤0.015mg/m³ ，挥发性有机化合物（苯、甲苯、二甲苯）未检出，总挥发性有机化合物符合GB 18584—2024标准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79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电动病床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（含床头柜）</w:t>
            </w:r>
          </w:p>
        </w:tc>
        <w:tc>
          <w:tcPr>
            <w:tcW w:w="8954" w:type="dxa"/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一、病床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尺寸规格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外形尺寸：2150*1080*500/700mm（±5%），可根据实际需求进行微调以适应不同病房空间。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床头床尾板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材质：采用高强度ABS工程塑料，一次性注塑成型，确保强度高、韧性好。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设计：在不借助任何工具的情况下可自由拆卸，方便清洁与维护；床尾配备一次性成型病历卡座，便于存放病人资料。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电动调节：床头床尾板可电动升降，以适应不同治疗或护理需求，升降范围0-300mm，调节速度平稳可调。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护栏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材质：铝合金护栏，采用专用铝型材料，厚1.2mm。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设计：护栏自锁机构为隐藏式枪把设计，D型铝合金扶手。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结构：六支护栏支柱，提供稳固支撑；可收缩平放，单触点式手柄操作，升降灵活且安全。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电动控制：护栏的升降可通过电动按钮控制，方便医护人员或病人自行操作。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升降丝杆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材质：采用45#优质钢挤压成型，确保结构稳固。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保护装置：使用过盈打滑保护装置，防止过载损坏；配备防护装置，防止积尘，延长使用寿命。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摇把：金属摇把，经久耐用；电动病床配备电动升降系统，可通过遥控器或控制面板实现床体的整体升降，升降范围450-750mm，调节精度±5mm。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床面板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材质：1.2mm厚冷轧钢条板（相较于普通病床加厚），整体冲压而成。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承重：承重力强，不低于250公斤，确保病人安全。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表面处理：表面光滑并带有透气孔，保证病人的舒适性。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电动调节：床面板可分段电动调节，包括背部抬起、腿部抬起等功能，背部抬起角度0-75°±5°，腿部抬起角度0-45°±5°，满足患者不同体位变换需求。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床架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材质：钢制床架，采用1.2mm厚优质冷轧钢管（相较于普通病床加厚），确保结构稳固。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床框：采用30mm×60mm×1.2mm碳钢矩管，提升床体整体强度。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电动驱动：床架配备电动驱动系统，实现床体的平稳升降与倾斜调节。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脚架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材质：采用冷轧钢制造，确保结构稳固。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设计：床面外框架采用50×25×1.8mm冷轧钢管。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电动调节：脚架可电动调节高度，以适应不同地面高度或病人需求。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床面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饰面材料：采用抑菌耐磨超纤皮革或抑菌布绒饰面，确保床面清洁卫生、舒适耐用。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移动与制动：配备5寸双面静音轮，移动灵活；制动系统稳定可靠，确保床体在静止状态下的安全性。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智能控制：配备遥控器或控制面板，实现床体各项功能的电动调节。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有害物质限量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甲醛、苯、甲苯、二甲苯、TVOC等有害物质未检出或符合相关环保标准限量要求，确保病人健康。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结构安全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所有边角进行倒圆处理，倒圆半径不小于规定值，防止病人磕碰受伤。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剪切和挤压点防护措施到位，确保病人使用过程中的安全性。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孔及间隙安全尺寸符合标准，防止病人手指或其他部位卡入造成伤害。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电源：配备安全可靠的电源系统，包括过载保护、漏电保护等功能，确保使用安全。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噪音控制：电动驱动系统采用低噪音设计，确保床体在调节过程中产生的噪音不超过规定值，为病人提供安静的休息环境。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二、床头柜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主材质：面材：采用优质E0级实木颗粒板；基材：采用E0级实木多层板，符合GB 28008—2024和GB 18584—2024标准；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配置：一抽一柜，两侧带毛巾挂杆，所有边角进行倒圆处理，倒圆半径不小于0.5mm；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活动部件：配备防脱落装置或带有不小于5号黑体字的永久性警示标识；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剪切和挤压点防护：活动部件运行形成的可接触间隙尺寸小于7mm；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稳定性：按照GB 28008—2024标准进行稳定性试验，结果合格；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封边：选用优质PVC封边条，封边平滑，颜色与板材一致，采用全自动封边工艺，防水、防潮、不变色；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五金配件：采用优质品牌五金配件，无锈蚀，具有足够的承载能力、耐腐蚀能力，符合GB 28008—2024标准；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板材厚度：层板厚度为25mm，面板、侧板、门板、抽面厚度为16mm，宽度、长度允许偏差±1.5mm，含水率≤8%；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表面性能：表面胶合强度≥1.0MPa，表面耐磨磨耗值≤50mg/100r，表面耐香烟灼烧达到4级，甲醛释放限量（1m³气候箱法） ≤0.015mg/m³ ，挥发性有机化合物（苯、甲苯、二甲苯）未检出，总挥发性有机化合物符合GB 18584—2024标准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179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重症特需床位</w:t>
            </w: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（含床头柜）</w:t>
            </w:r>
          </w:p>
        </w:tc>
        <w:tc>
          <w:tcPr>
            <w:tcW w:w="8954" w:type="dxa"/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一、病床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产品为特需病房用电动多功能病床，，为五功能/六功能电动配置，符合高端病房使用标准。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外形尺寸总长≥2150mm，总宽≥1000mm，床体整体高度调节范围450mm-780mm；床板长度≥1950mm，床面宽度≥900mm。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具备五功能电动调节：背板升降0°-75°、腿板升降0°-40°、床体整体升降、整体前倾0°-14°、整体后倾0°-14°，支持背膝联动，减少患者摩擦不适。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配备静音医用电动推杆，运行平稳噪音低，配手持控制器与床侧快捷键，支持一键复位、一键椅位、电动CPR紧急放平，带急停开关。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安全载重**≥240kg-250kg**，床架采用加厚冷轧钢板冲压成型，表面防锈防腐处理；床头床尾为ABS/高档实木材质，可拆卸、易清洁、防撞圆角。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配置四片式升降护栏，阻尼缓冲、防夹手，可隐藏收纳；采用中控刹车静音脚轮，制动可靠、推行顺滑。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床板为分段式透气防滑结构，标配医用防水防压疮床垫；预留输液架插孔、引流挂钩、餐板接口、床头灯位。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供电AC220V/50Hz，内置备用蓄电池，断电可正常操作；电气防护等级IP54，安全稳定。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整体结构全圆角防撞，符合医用安全与院感要求，质保期：床架≥3年，电机及电控系统≥2年，床垫及配件≥1年。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二、床头柜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主材质：面材：采用优质E0级实木颗粒板；基材：采用E0级实木多层板，符合GB 28008—2024和GB 18584—2024标准；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配置：一抽一柜，两侧带毛巾挂杆，所有边角进行倒圆处理，倒圆半径不小于0.5mm；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活动部件：配备防脱落装置或带有不小于5号黑体字的永久性警示标识；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剪切和挤压点防护：活动部件运行形成的可接触间隙尺寸小于7mm；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稳定性：按照GB 28008—2024标准进行稳定性试验，结果合格；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封边：选用优质PVC封边条，封边平滑，颜色与板材一致，采用全自动封边工艺，防水、防潮、不变色；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五金配件：采用优质品牌五金配件，无锈蚀，具有足够的承载能力、耐腐蚀能力，符合GB 28008—2024标准；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板材厚度：层板厚度为25mm，面板、侧板、门板、抽面厚度为16mm，宽度、长度允许偏差±1.5mm，含水率≤8%；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eastAsia="宋体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表面性能：表面胶合强度≥1.0MPa，表面耐磨磨耗值≤50mg/100r，表面耐香烟灼烧达到4级，甲醛释放限量（1m³气候箱法） ≤0.015mg/m³ ，挥发性有机化合物（苯、甲苯、二甲苯）未检出，总挥发性有机化合物符合GB 18584—2024标准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179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转运病床</w:t>
            </w:r>
          </w:p>
        </w:tc>
        <w:tc>
          <w:tcPr>
            <w:tcW w:w="8954" w:type="dxa"/>
            <w:shd w:val="clear" w:color="auto" w:fill="auto"/>
            <w:vAlign w:val="center"/>
          </w:tcPr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一、尺寸规格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外形尺寸：2200*1100*550/750mm（±5%）。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折叠后尺寸：可折叠结构，折叠后长度缩短至1800mm，宽度不变，高度降低至300mm，方便在救护车、电梯等狭小空间内存放和搬运。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二、材质与结构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床头床尾板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采用高强度ABS工程塑料，一次性注塑成型。在不借助任何工具的情况下可快速自由拆卸，方便在紧急情况下对患者进行快速转移和救治。床尾配备一次性成型病历卡座，且卡座设计更牢固，防止在转运过程中病历滑落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护栏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选用铝合金护栏，采用高精度铝型材料，厚度达1.2mm。护栏自锁机构采用隐藏式枪把设计，操作更流畅；D型铝合金扶手经过表面硬化处理，硬度更高，耐磨、不易变形，且表面增加防滑纹理，确保医护人员或患者在抓握时的安全性。配备八支护栏支柱，进一步增强护栏的稳定性。可收缩平放，采用单触点式手柄操作，升降灵活且安全，在转运过程中可根据需要快速调整护栏状态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升降丝杆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采用45#优质钢挤压成型，经过热处理工艺，提高丝杆的强度和耐磨性。摇把采用高强度金属摇把，经久耐用，在摇把表面增加防滑橡胶套，方便操作。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床面板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材质为1.2mm厚冷轧钢条板，整体冲压而成，承重力不低于250公斤，以满足转运过程中可能遇到的不同体重患者需求。表面光滑且带有更多透气孔，透气孔分布更均匀，保证病人在长时间转运过程中的舒适性。床面板边缘进行圆滑处理，防止刮伤患者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床架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钢制床架，材质为1.2mm厚优质冷轧钢管，床框采用35mm×65mm×1.2mm碳钢矩管，床脚大架采用35mm×55mm×1.2mm的碳钢管，使床体与床脚之间连接更加稳固可靠，能够承受转运过程中的各种外力冲击。床架结构进行优化设计，增加加强筋，提高整体强度和稳定性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脚架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采用优质冷轧钢制造，床面外框架采用55×30×1.8mm冷轧钢管，脚架与床体连接部位采用加强设计，确保在转运过程中脚架不会松动或脱落。脚架底部配备可调节高度的支脚，可根据地面平整度进行调整，保证病床在放置时的稳定性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床面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采用高级抑菌耐磨超纤皮革或抑菌布绒饰面，能够有效抑制常见细菌滋生，降低患者在转运过程中感染的风险。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三、功能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背部抬起角度：75°±10°，同时增加腿部抬起功能，腿部抬起角度范围为0°-45°，满足患者在不同体位下的需求，尤其在转运长时间卧床患者时，可通过调整体位减轻患者不适。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移动与制动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配备6寸双面静音轮，轮子材质采用高弹性橡胶，具有良好的减震性能，移动更加灵活平稳，能够有效减少在转运过程中因颠簸对患者造成的伤害。制动系统采用灵敏可靠的脚刹和手刹双重制动装置，制动稳定，确保在需要固定病床位置时能够迅速停下，防止病床滑动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快速转移功能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床体底部配备可伸缩的牵引装置，方便在救护车等有限空间内与其他转运设备进行连接和牵引，实现快速转移。同时，在床体两侧设置多个吊环，便于使用吊带等工具进行垂直吊运，满足特殊场景下的转运需求。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四、有害物质限量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甲醛、苯、甲苯、二甲苯、TVOC等有害物质未检出或符合更严格的国际环保标准限量要求，确保患者在转运过程中的健康安全，减少因接触有害物质而引发的潜在风险。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五、结构安全</w:t>
            </w:r>
          </w:p>
          <w:p>
            <w:pPr>
              <w:adjustRightInd w:val="0"/>
              <w:ind w:firstLine="0" w:firstLineChars="0"/>
              <w:textAlignment w:val="center"/>
              <w:rPr>
                <w:rFonts w:hint="eastAsia" w:ascii="宋体" w:hAnsi="宋体" w:eastAsia="宋体" w:cs="仿宋"/>
                <w:color w:val="00000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</w:pPr>
            <w:r>
              <w:rPr>
                <w:rFonts w:hint="eastAsia" w:eastAsia="宋体" w:cs="仿宋"/>
                <w:color w:val="000000"/>
                <w:kern w:val="0"/>
                <w:sz w:val="24"/>
                <w:szCs w:val="24"/>
                <w:lang w:bidi="ar"/>
              </w:rPr>
              <w:t>所有边角进行倒圆处理，倒圆半径不小于10mm，最大程度避免患者和医护人员在转运过程中被边角刮伤。孔及间隙安全尺寸符合国际标准，防止患者手指或其他部位卡入，保障使用安全。</w:t>
            </w:r>
          </w:p>
        </w:tc>
        <w:tc>
          <w:tcPr>
            <w:tcW w:w="91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张</w:t>
            </w:r>
          </w:p>
        </w:tc>
        <w:tc>
          <w:tcPr>
            <w:tcW w:w="10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18</w:t>
            </w:r>
          </w:p>
        </w:tc>
      </w:tr>
    </w:tbl>
    <w:p>
      <w:pPr>
        <w:ind w:left="0" w:leftChars="0" w:firstLine="964" w:firstLineChars="3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报价单</w:t>
      </w:r>
    </w:p>
    <w:tbl>
      <w:tblPr>
        <w:tblStyle w:val="11"/>
        <w:tblW w:w="128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4505"/>
        <w:gridCol w:w="1675"/>
        <w:gridCol w:w="1620"/>
        <w:gridCol w:w="1755"/>
        <w:gridCol w:w="1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货物名称（标的名称）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单价（元）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合计（元）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普通病床（含床头柜）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350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儿童病床（含床头柜）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电动病床（含床头柜）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56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重症特需床位（含床头柜）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转运病床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总合计（元）</w:t>
            </w:r>
          </w:p>
        </w:tc>
        <w:tc>
          <w:tcPr>
            <w:tcW w:w="5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合计大写：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公司名称：                    （单位公章）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法定代表人/单位负责人或授权代表（签字或加盖个人名章） 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报价日期：2026年  月   日</w:t>
      </w:r>
    </w:p>
    <w:p>
      <w:pPr>
        <w:numPr>
          <w:ilvl w:val="0"/>
          <w:numId w:val="0"/>
        </w:numPr>
        <w:ind w:firstLine="964" w:firstLineChars="3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OLE_LINK1"/>
    </w:p>
    <w:p>
      <w:pPr>
        <w:numPr>
          <w:ilvl w:val="0"/>
          <w:numId w:val="0"/>
        </w:numPr>
        <w:ind w:firstLine="964" w:firstLineChars="300"/>
        <w:jc w:val="left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供应商在以上参数基础上报价（注：仅作为预算参考）。</w:t>
      </w:r>
      <w:bookmarkEnd w:id="0"/>
      <w:bookmarkStart w:id="1" w:name="_GoBack"/>
      <w:bookmarkEnd w:id="1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0"/>
    <w:lvl w:ilvl="0" w:tentative="0">
      <w:start w:val="1"/>
      <w:numFmt w:val="chineseCountingThousand"/>
      <w:pStyle w:val="18"/>
      <w:suff w:val="space"/>
      <w:lvlText w:val="%1、"/>
      <w:lvlJc w:val="left"/>
      <w:pPr>
        <w:ind w:left="0" w:firstLine="0"/>
      </w:pPr>
      <w:rPr>
        <w:rFonts w:hint="eastAsia"/>
        <w:b/>
      </w:rPr>
    </w:lvl>
    <w:lvl w:ilvl="1" w:tentative="0">
      <w:start w:val="1"/>
      <w:numFmt w:val="decimal"/>
      <w:pStyle w:val="19"/>
      <w:suff w:val="space"/>
      <w:lvlText w:val="%1.%2"/>
      <w:lvlJc w:val="left"/>
      <w:pPr>
        <w:ind w:left="284" w:firstLine="0"/>
      </w:pPr>
      <w:rPr>
        <w:rFonts w:hint="eastAsia"/>
        <w:spacing w:val="0"/>
        <w:w w:val="100"/>
        <w:kern w:val="21"/>
      </w:rPr>
    </w:lvl>
    <w:lvl w:ilvl="2" w:tentative="0">
      <w:start w:val="1"/>
      <w:numFmt w:val="decimal"/>
      <w:pStyle w:val="20"/>
      <w:suff w:val="space"/>
      <w:lvlText w:val="%1.%2.%3"/>
      <w:lvlJc w:val="left"/>
      <w:pPr>
        <w:ind w:left="2541" w:firstLine="0"/>
      </w:pPr>
      <w:rPr>
        <w:rFonts w:hint="eastAsia"/>
        <w:color w:val="000000"/>
      </w:rPr>
    </w:lvl>
    <w:lvl w:ilvl="3" w:tentative="0">
      <w:start w:val="1"/>
      <w:numFmt w:val="decimal"/>
      <w:lvlText w:val="%1.%2.%3.%4"/>
      <w:lvlJc w:val="left"/>
      <w:pPr>
        <w:ind w:left="852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136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42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704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988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2272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11607"/>
    <w:rsid w:val="01DB6127"/>
    <w:rsid w:val="02801098"/>
    <w:rsid w:val="034B2E38"/>
    <w:rsid w:val="03537C76"/>
    <w:rsid w:val="040C7417"/>
    <w:rsid w:val="04207DE8"/>
    <w:rsid w:val="04826D2E"/>
    <w:rsid w:val="04836EC1"/>
    <w:rsid w:val="055C3A53"/>
    <w:rsid w:val="059960DD"/>
    <w:rsid w:val="0741366C"/>
    <w:rsid w:val="08167EB9"/>
    <w:rsid w:val="086F1AAE"/>
    <w:rsid w:val="08FA3336"/>
    <w:rsid w:val="0B8B64C8"/>
    <w:rsid w:val="0BB04180"/>
    <w:rsid w:val="0BEF2EFA"/>
    <w:rsid w:val="0C4C1587"/>
    <w:rsid w:val="0D074274"/>
    <w:rsid w:val="0EFF16A6"/>
    <w:rsid w:val="0F873B4A"/>
    <w:rsid w:val="117B6FDE"/>
    <w:rsid w:val="119C142F"/>
    <w:rsid w:val="11F12DFD"/>
    <w:rsid w:val="12394ECF"/>
    <w:rsid w:val="142E658A"/>
    <w:rsid w:val="14D709D0"/>
    <w:rsid w:val="1517701E"/>
    <w:rsid w:val="154A73F4"/>
    <w:rsid w:val="154F0566"/>
    <w:rsid w:val="157E2B48"/>
    <w:rsid w:val="15C560DF"/>
    <w:rsid w:val="161A72D3"/>
    <w:rsid w:val="1862744F"/>
    <w:rsid w:val="18B94C01"/>
    <w:rsid w:val="19B94B48"/>
    <w:rsid w:val="1B8B42C2"/>
    <w:rsid w:val="1CBC1A5B"/>
    <w:rsid w:val="1E3429EF"/>
    <w:rsid w:val="1E65704C"/>
    <w:rsid w:val="1EEB532C"/>
    <w:rsid w:val="1F8E39C0"/>
    <w:rsid w:val="20E379AE"/>
    <w:rsid w:val="21901CA4"/>
    <w:rsid w:val="22235254"/>
    <w:rsid w:val="226A7D59"/>
    <w:rsid w:val="2294458B"/>
    <w:rsid w:val="23C6233B"/>
    <w:rsid w:val="25B763DF"/>
    <w:rsid w:val="265754CC"/>
    <w:rsid w:val="285814FB"/>
    <w:rsid w:val="2B057BED"/>
    <w:rsid w:val="2B7C2CD2"/>
    <w:rsid w:val="2BC970D3"/>
    <w:rsid w:val="2C520C10"/>
    <w:rsid w:val="2D682829"/>
    <w:rsid w:val="2D9B2143"/>
    <w:rsid w:val="2FAC6889"/>
    <w:rsid w:val="32827C56"/>
    <w:rsid w:val="3538471B"/>
    <w:rsid w:val="35984814"/>
    <w:rsid w:val="362A056A"/>
    <w:rsid w:val="3645426A"/>
    <w:rsid w:val="369A6E63"/>
    <w:rsid w:val="36E0506A"/>
    <w:rsid w:val="37165CDA"/>
    <w:rsid w:val="374970B3"/>
    <w:rsid w:val="37F3134E"/>
    <w:rsid w:val="380A2A7F"/>
    <w:rsid w:val="39EB3DFB"/>
    <w:rsid w:val="3A257964"/>
    <w:rsid w:val="3B4262F3"/>
    <w:rsid w:val="3B706DAD"/>
    <w:rsid w:val="3C9A5CBB"/>
    <w:rsid w:val="3CAB1021"/>
    <w:rsid w:val="3E1026D9"/>
    <w:rsid w:val="3EE85404"/>
    <w:rsid w:val="3EF43DA9"/>
    <w:rsid w:val="403117FC"/>
    <w:rsid w:val="40BA4B7E"/>
    <w:rsid w:val="40F24318"/>
    <w:rsid w:val="423F3D05"/>
    <w:rsid w:val="461807D7"/>
    <w:rsid w:val="47D27481"/>
    <w:rsid w:val="484566FC"/>
    <w:rsid w:val="496D6C31"/>
    <w:rsid w:val="499D1122"/>
    <w:rsid w:val="4C7D7030"/>
    <w:rsid w:val="4DDF22D6"/>
    <w:rsid w:val="4E4A5793"/>
    <w:rsid w:val="4E8F31A6"/>
    <w:rsid w:val="527C6137"/>
    <w:rsid w:val="52A631B4"/>
    <w:rsid w:val="54C95E1B"/>
    <w:rsid w:val="555B0286"/>
    <w:rsid w:val="557E3F74"/>
    <w:rsid w:val="56C34335"/>
    <w:rsid w:val="58801DB1"/>
    <w:rsid w:val="58896EB8"/>
    <w:rsid w:val="5AFA5E4B"/>
    <w:rsid w:val="5B9444F1"/>
    <w:rsid w:val="5BD90156"/>
    <w:rsid w:val="5CE82AF2"/>
    <w:rsid w:val="60C2114E"/>
    <w:rsid w:val="60E76E71"/>
    <w:rsid w:val="616F76CB"/>
    <w:rsid w:val="61E33ADD"/>
    <w:rsid w:val="62481B92"/>
    <w:rsid w:val="62EE3956"/>
    <w:rsid w:val="63C811DC"/>
    <w:rsid w:val="647F61BA"/>
    <w:rsid w:val="64964E36"/>
    <w:rsid w:val="65BC6B1F"/>
    <w:rsid w:val="66CB20A8"/>
    <w:rsid w:val="68CB6333"/>
    <w:rsid w:val="68F640F6"/>
    <w:rsid w:val="6AD40467"/>
    <w:rsid w:val="6B653436"/>
    <w:rsid w:val="6BF879A1"/>
    <w:rsid w:val="6C476496"/>
    <w:rsid w:val="6CD23CBE"/>
    <w:rsid w:val="6E11552E"/>
    <w:rsid w:val="6EA75397"/>
    <w:rsid w:val="6EE3511C"/>
    <w:rsid w:val="70E34453"/>
    <w:rsid w:val="717E737E"/>
    <w:rsid w:val="71F80EDE"/>
    <w:rsid w:val="74F900F2"/>
    <w:rsid w:val="76EF00B9"/>
    <w:rsid w:val="76FA74A7"/>
    <w:rsid w:val="773D55E5"/>
    <w:rsid w:val="79D2352B"/>
    <w:rsid w:val="7A3C667E"/>
    <w:rsid w:val="7AE451AC"/>
    <w:rsid w:val="7B000E04"/>
    <w:rsid w:val="7D011607"/>
    <w:rsid w:val="7DB303AF"/>
    <w:rsid w:val="7DE467BB"/>
    <w:rsid w:val="7DF6029C"/>
    <w:rsid w:val="7EF722B8"/>
    <w:rsid w:val="7F0A7E9B"/>
    <w:rsid w:val="7F460903"/>
    <w:rsid w:val="7F46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756" w:firstLineChars="270"/>
      <w:jc w:val="both"/>
    </w:pPr>
    <w:rPr>
      <w:rFonts w:ascii="宋体" w:hAnsi="宋体" w:eastAsia="宋体" w:cs="Arial"/>
      <w:kern w:val="2"/>
      <w:sz w:val="28"/>
      <w:szCs w:val="28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480" w:after="80"/>
      <w:ind w:firstLine="0" w:firstLineChars="0"/>
      <w:outlineLvl w:val="0"/>
    </w:pPr>
    <w:rPr>
      <w:rFonts w:asciiTheme="majorHAnsi" w:hAnsiTheme="majorHAnsi" w:cstheme="majorBidi"/>
      <w:b/>
      <w:bCs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60" w:after="80"/>
      <w:outlineLvl w:val="1"/>
    </w:pPr>
    <w:rPr>
      <w:rFonts w:eastAsia="仿宋" w:asciiTheme="majorAscii" w:hAnsiTheme="majorAscii" w:cstheme="majorBidi"/>
      <w:b/>
      <w:color w:val="000000" w:themeColor="text1"/>
      <w:sz w:val="28"/>
      <w:szCs w:val="40"/>
      <w14:textFill>
        <w14:solidFill>
          <w14:schemeClr w14:val="tx1"/>
        </w14:solidFill>
      </w14:textFill>
      <w14:ligatures w14:val="standardContextual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0"/>
    <w:pPr>
      <w:ind w:firstLine="200" w:firstLineChars="200"/>
    </w:pPr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7"/>
    <w:unhideWhenUsed/>
    <w:qFormat/>
    <w:uiPriority w:val="99"/>
    <w:pPr>
      <w:spacing w:after="120"/>
    </w:pPr>
  </w:style>
  <w:style w:type="paragraph" w:styleId="7">
    <w:name w:val="Body Text First Indent"/>
    <w:basedOn w:val="6"/>
    <w:next w:val="8"/>
    <w:unhideWhenUsed/>
    <w:qFormat/>
    <w:uiPriority w:val="99"/>
    <w:pPr>
      <w:ind w:firstLine="420" w:firstLineChars="100"/>
    </w:pPr>
  </w:style>
  <w:style w:type="paragraph" w:customStyle="1" w:styleId="8">
    <w:name w:val="样式 正文首行缩进 + 首行缩进:  2 字符1 Char Char"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4">
    <w:name w:val="annotation reference"/>
    <w:basedOn w:val="13"/>
    <w:qFormat/>
    <w:uiPriority w:val="99"/>
    <w:rPr>
      <w:sz w:val="21"/>
      <w:szCs w:val="21"/>
    </w:rPr>
  </w:style>
  <w:style w:type="character" w:customStyle="1" w:styleId="15">
    <w:name w:val="font131"/>
    <w:basedOn w:val="13"/>
    <w:qFormat/>
    <w:uiPriority w:val="0"/>
    <w:rPr>
      <w:rFonts w:ascii="宋体" w:hAnsi="宋体" w:eastAsia="宋体" w:cs="宋体"/>
      <w:color w:val="000000"/>
      <w:sz w:val="12"/>
      <w:szCs w:val="12"/>
      <w:u w:val="none"/>
    </w:rPr>
  </w:style>
  <w:style w:type="character" w:customStyle="1" w:styleId="16">
    <w:name w:val="font161"/>
    <w:basedOn w:val="13"/>
    <w:qFormat/>
    <w:uiPriority w:val="0"/>
    <w:rPr>
      <w:rFonts w:ascii="宋体" w:hAnsi="宋体" w:eastAsia="宋体" w:cs="宋体"/>
      <w:color w:val="103080"/>
      <w:sz w:val="12"/>
      <w:szCs w:val="12"/>
      <w:u w:val="none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paragraph" w:customStyle="1" w:styleId="18">
    <w:name w:val="标题 11"/>
    <w:qFormat/>
    <w:uiPriority w:val="0"/>
    <w:pPr>
      <w:keepNext/>
      <w:numPr>
        <w:ilvl w:val="0"/>
        <w:numId w:val="1"/>
      </w:numPr>
      <w:snapToGrid w:val="0"/>
      <w:outlineLvl w:val="0"/>
    </w:pPr>
    <w:rPr>
      <w:rFonts w:ascii="Cambria" w:hAnsi="Cambria" w:eastAsia="微软雅黑" w:cs="Times New Roman"/>
      <w:b/>
      <w:bCs/>
      <w:kern w:val="32"/>
      <w:sz w:val="21"/>
      <w:szCs w:val="32"/>
      <w:lang w:val="en-US" w:eastAsia="zh-CN" w:bidi="ar-SA"/>
    </w:rPr>
  </w:style>
  <w:style w:type="paragraph" w:customStyle="1" w:styleId="19">
    <w:name w:val="标题 21"/>
    <w:qFormat/>
    <w:uiPriority w:val="0"/>
    <w:pPr>
      <w:numPr>
        <w:ilvl w:val="1"/>
        <w:numId w:val="1"/>
      </w:numPr>
      <w:snapToGrid w:val="0"/>
      <w:outlineLvl w:val="1"/>
    </w:pPr>
    <w:rPr>
      <w:rFonts w:ascii="微软雅黑" w:hAnsi="微软雅黑" w:eastAsia="微软雅黑" w:cs="Times New Roman"/>
      <w:b/>
      <w:bCs/>
      <w:kern w:val="2"/>
      <w:sz w:val="21"/>
      <w:szCs w:val="32"/>
      <w:lang w:val="en-US" w:eastAsia="zh-CN" w:bidi="ar-SA"/>
    </w:rPr>
  </w:style>
  <w:style w:type="paragraph" w:customStyle="1" w:styleId="20">
    <w:name w:val="标题 31"/>
    <w:qFormat/>
    <w:uiPriority w:val="0"/>
    <w:pPr>
      <w:numPr>
        <w:ilvl w:val="2"/>
        <w:numId w:val="1"/>
      </w:numPr>
      <w:snapToGrid w:val="0"/>
      <w:ind w:left="567"/>
      <w:outlineLvl w:val="2"/>
    </w:pPr>
    <w:rPr>
      <w:rFonts w:ascii="微软雅黑" w:hAnsi="微软雅黑" w:eastAsia="微软雅黑" w:cs="Times New Roman"/>
      <w:bCs/>
      <w:kern w:val="2"/>
      <w:sz w:val="21"/>
      <w:szCs w:val="32"/>
      <w:lang w:val="en-US" w:eastAsia="zh-CN" w:bidi="ar-SA"/>
    </w:rPr>
  </w:style>
  <w:style w:type="character" w:customStyle="1" w:styleId="21">
    <w:name w:val="NormalCharacter"/>
    <w:qFormat/>
    <w:uiPriority w:val="0"/>
  </w:style>
  <w:style w:type="paragraph" w:customStyle="1" w:styleId="22">
    <w:name w:val="页眉1"/>
    <w:basedOn w:val="1"/>
    <w:qFormat/>
    <w:uiPriority w:val="0"/>
    <w:pPr>
      <w:tabs>
        <w:tab w:val="center" w:pos="4320"/>
        <w:tab w:val="right" w:pos="8640"/>
      </w:tabs>
    </w:pPr>
  </w:style>
  <w:style w:type="paragraph" w:customStyle="1" w:styleId="23">
    <w:name w:val="页脚1"/>
    <w:basedOn w:val="1"/>
    <w:qFormat/>
    <w:uiPriority w:val="0"/>
    <w:pPr>
      <w:tabs>
        <w:tab w:val="center" w:pos="4320"/>
        <w:tab w:val="right" w:pos="8640"/>
      </w:tabs>
    </w:p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  <w:szCs w:val="24"/>
    </w:rPr>
  </w:style>
  <w:style w:type="paragraph" w:customStyle="1" w:styleId="28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2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character" w:customStyle="1" w:styleId="30">
    <w:name w:val="标题 1 Char"/>
    <w:link w:val="2"/>
    <w:qFormat/>
    <w:uiPriority w:val="0"/>
    <w:rPr>
      <w:rFonts w:asciiTheme="majorHAnsi" w:hAnsiTheme="majorHAnsi" w:cstheme="majorBidi"/>
      <w:b/>
      <w:bCs/>
      <w:color w:val="000000" w:themeColor="text1"/>
      <w:sz w:val="32"/>
      <w:szCs w:val="4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4674</Words>
  <Characters>5058</Characters>
  <Lines>0</Lines>
  <Paragraphs>0</Paragraphs>
  <TotalTime>0</TotalTime>
  <ScaleCrop>false</ScaleCrop>
  <LinksUpToDate>false</LinksUpToDate>
  <CharactersWithSpaces>5058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2026-06-25T06:51:00Z</dcterms:created>
  <dc:creator>智赢标定</dc:creator>
  <cp:lastModifiedBy>茉莉</cp:lastModifiedBy>
  <dcterms:modified xsi:type="dcterms:W3CDTF">2026-07-31T05:38:38Z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1A887A6746C64E988C91B7F9BA6B305D_11</vt:lpwstr>
  </property>
  <property fmtid="{D5CDD505-2E9C-101B-9397-08002B2CF9AE}" pid="4" name="KSOTemplateDocerSaveRecord">
    <vt:lpwstr>eyJoZGlkIjoiOGM1NDkwYzI3MWNkOTIyZjAzZTM5ZmQ5YzRkNGI4ZjMiLCJ1c2VySWQiOiI0NDcwODI4MzcifQ==</vt:lpwstr>
  </property>
</Properties>
</file>