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left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附件：</w:t>
      </w:r>
    </w:p>
    <w:p>
      <w:pPr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其他家具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清单及参数要求</w:t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包1：通用家具</w:t>
      </w:r>
    </w:p>
    <w:tbl>
      <w:tblPr>
        <w:tblStyle w:val="11"/>
        <w:tblW w:w="1414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1310"/>
        <w:gridCol w:w="9788"/>
        <w:gridCol w:w="912"/>
        <w:gridCol w:w="11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产品名称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参数要求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单位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陪护床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1、核心尺寸：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折叠（椅态）：约650×650×950mm（长×宽×高）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展开（床态）：约1900×650×320mm（长×宽×高）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尺寸公差：±5mm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2、结构与材质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框架：材质：加厚冷轧钢管；主管规格：≥Φ22×1.2mm；工艺：静电喷塑、防锈、耐磨、易消毒；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床面/座面：板材：环保多层板≥12mm；海绵：高密度海绵≥30mm；面料：医用抗菌PU皮革，防水、防污、耐酒精/84擦拭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连接结构：加厚铰链、三折结构；防夹手、防回弹、防错位设计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3、安全与承重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额定承重：≥150kg；静态承重：≥200kg；折叠寿命：≥30000次无松动、无变形；边角：全圆角防撞处理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4、功能特点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一键折叠/展开，单人操作；椅床两用，不占病房空间；带稳固扶手，靠背角度可调；底部防滑脚垫，不划伤地面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5、环保及其他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无甲醛、无异味；面料抗菌、易清洁；缝隙少，不积尘，符合医院感控要求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6、质保要求：框架质保：≥3年；面料、配件质保：≥1年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张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等候椅（二人位）</w:t>
            </w:r>
          </w:p>
        </w:tc>
        <w:tc>
          <w:tcPr>
            <w:tcW w:w="97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单座</w:t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尺寸规格：宽度600mm，座高为450mm，座深为400mm，允许正负公差±5mm。材料：采用PU聚氨酯一体自结皮座背+铝合金扶手脚架，内置钢架加固，具备高承重、防水易洁、抗菌耐磨、稳固舒适等特性，符合医院、机场等公共场所使用标准，长期使用不变形、不塌陷。。扶手脚：采用≥1.0mm厚度的冷轧钢板或铝合金，一次成型，表面经过除油、除锈、酸洗、磷化处理，再采用高压静电喷涂，表面烤漆处理。座板：采用≥1.0mm冷轧钢板或优质E0级多层板，经精密冷拔或热弯成型，表面经过多次喷砂除锈（如为钢板）或贴优质防火板（如为多层板），然后经静电喷涂处理，具有耐磨且不易生锈特性。靠背、座垫面料：采用防磨耐污性好的面料，如西皮或其他具有同等性能的面料。海绵：采用高密度回弹海绵，可防氧化、防碎，软硬适中，回弹性好，不易变形。内框架：选用实木原材或金属框架，经去皮、烘干、防虫防腐处理（如为实木），或经过除油、除锈、酸洗、磷化处理（如为金属），坚固耐用。底座：采用S形弹簧与高弹绷带形成稳固的网状结构（如为实木或金属框架搭配软垫款式）。脚架：采用高强度冷轧钢管或铝合金，表面喷涂处理。环保要求：甲醛释放量≤0.015mg/m³（1m³气候箱法），苯、甲苯、二甲苯未检出，总挥发性有机化合物（TVOC）≤0.3mg/m³，符合GB18584-2024《家具中有害物质限量》的要求。结构安全：所有外露边角及边缘均应倒圆处理，倒圆半径不小于2mm；剪切和挤压点间隙应小于7mm或大于等于18mm，以防夹伤；任何可能造成身体部位陷入的孔、间隙，其直径或间隙应小于5mm或大于等于12mm。符合GB28008-2024《家具结构安全技术规范》的要求。功能配置：根据实际需求配置扶手、储物功能等；如带有软垫，则靠背和坐垫应舒适且符合人体工学原理。人体工学：座面角度、靠背角度等应符合人体工学原理，确保使用舒适。稳定性与力学性能：等候椅应具有良好的稳定性，通过水平稳定性测试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组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等候椅（三人位）</w:t>
            </w:r>
          </w:p>
        </w:tc>
        <w:tc>
          <w:tcPr>
            <w:tcW w:w="9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组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等候椅（四人位）</w:t>
            </w:r>
          </w:p>
        </w:tc>
        <w:tc>
          <w:tcPr>
            <w:tcW w:w="9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组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等候椅（五人位）</w:t>
            </w:r>
          </w:p>
        </w:tc>
        <w:tc>
          <w:tcPr>
            <w:tcW w:w="9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组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输液椅</w:t>
            </w:r>
          </w:p>
        </w:tc>
        <w:tc>
          <w:tcPr>
            <w:tcW w:w="97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规格尺寸：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整体尺寸：750*680*1100mm（±5%）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座高：440-480mm（可调节式）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座深：≥380mm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座宽：≥400mm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背高：≥450mm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背宽：≥350mm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主要材料：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面料：采用透气、耐磨、富有弹性的优质面料，如优质棉绒、麻绒或超纤皮等，符合环保与防火要求。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海绵：采用高密度一次成型海绵，密度≥40kg/m³，回弹率≥60%，75%压缩永久变形≤8%，经过防潮、防腐、防虫处理。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框架：采用实木框架或高强度金属框架（如不锈钢圆管，壁厚≥1.5mm），确保结构稳定，承重能力≥150kg。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环保与安全要求：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符合GB18584-2024《家具中有害物质限量》要求，提供有害物质限量检测报告。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甲醛释放量≤0.05mg/m³（针对板材或泡棉等可能释放甲醛的材料）。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可分解致癌芳香胺染料未检出。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防火等级不低于GB8624-2012B1级，提供抗引燃特性测试报告。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结构安全：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所有外露边缘、尖端应做倒圆处理，无毛刺、锐利边角。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任何可能卡住手指的孔、间隙，其直径或间隙应&lt;5mm或≥12mm。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底部应配备防滑脚垫。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耐用性：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面料耐磨性需满足高频使用需求，无明显磨损、变形。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海绵抗疲劳性强，长期使用不易变形。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框架承重能力≥150kg，无永久性变形或损坏。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功能配置：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椅背可调整倾斜角度（0-65度或可平躺），并由新型防滑轨道和手柄固定。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配不锈钢输液架，挂钩需有防脱设计，承重能力不低于5kg。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扶手采用ABS或其他优质材料，高度可调节优先。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输液椅尺寸误差不超过±10毫米（针对关键尺寸如座高、座深等）。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张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雾化桌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规格尺寸：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长度：2000-3000mm（根据实际需求定制）。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宽度：600mm（可根据需求调整）。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高度：750-850mm（根据实际需求定制）。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桌面深度：400-600mm（根据实际需求定制）。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主要材料：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面材：采用符合E0级或更高等级环保标准的实木颗粒板或MFC饰面板等，密度≥0.70g/cm³，含水率≤8%，甲醛释放量≤0.015mg/m³（气候箱法），总挥发性有机化合物（TVOC）释放率（72h）未检出。表面装饰层纹理清晰、自然，色彩亮丽、饱满，整体真实感强、光泽柔和、手感细腻；具有不易燃、耐磨、防污、硬度高、刚性好、不易变形等特点；表面耐香烟灼烧、表面耐干热、表面耐污染腐蚀、表面耐龟裂、表面耐水蒸气均达到5级，挥发性有机化合物（苯、甲苯、二甲苯）未检出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基材：采用通过国标标准环保的颗粒纤维板或中密度纤维板等，甲醛释放量≤0.015mg/m³（气候箱法）；经过防虫、防腐、耐酸碱处理，具有环保、无异味、强度高，便于加工等优点；强度高，抗弯力强，刚性好、不变形、比重合理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防火板（若适用）：医用级防火板，具备耐高温（通过特定防火测试，如符合相关防火标准要求）、耐污、抗刮擦特性，表面可直接用75%酒精擦拭消毒，无有害物质释放。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封边：采用PVC封边条，环保热熔胶机械化封边，封边严密、平整，与整块板材严丝合缝，无脱胶、表面无胶渍。热熔胶粘性强，久不分层，具有防水性、防潮性、耐油性、耐撞性等。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环保与安全要求：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符合GB18584-2024《家具中有害物质限量》要求。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甲醛释放量≤0.015mg/m³（气候箱法）。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总挥发性有机化合物（TVOC）释放率（72h）未检出。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可迁移元素（可溶性重金属）、邻苯二甲酸酯等有害物质未检出。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结构安全：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所有外露边缘、尖端应做倒圆处理，无毛刺、锐利边角。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任何可能卡住手指的孔、间隙，其直径或间隙应&lt;5mm或≥25mm。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产品应结构牢固，无永久性松动，确保整体稳定性，承重能力≥100公斤。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耐用性：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耐磨性：表面材料应具有良好的耐磨性，长期使用无明显磨损。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抗疲劳性：关键部件（如桌腿、连接件等）应经过抗疲劳性测试，确保长期使用不变形。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功能配置（若适用）：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根据实际需求配置集成雾化设备、储物抽屉、电源插座等辅助功能。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五金配件：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所有五金配件（如桌腿、连接件、滑轨、调节脚垫等）应符合金属家具通用技术条件及相关标准。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雾化桌尺寸误差不超过±10毫米（针对关键尺寸如长度、宽度、高度等）。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张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雾化椅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规格尺寸：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座高：根据实际需求定制，范围400-500mm。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座深：根据实际需求定制，范围400-500mm。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座宽：根据实际需求定制，范围450-600mm。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整体高度：根据实际需求定制，以适应不同高度的治疗台或患者需求。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主要材料：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面材：采用符合E0级或更高等级环保标准的实木颗粒板或MFC饰面板，密度≥0.70g/cm³，含水率≤8%，甲醛释放量≤0.015mg/m³（气候箱法），总挥发性有机化合物（TVOC）释放率（72h）未检出或符合相关标准。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封边：采用PVC封边条，封边严密、平整，无脱胶、表面无胶渍。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钢架：采用实心电镀钢架，直径或厚度根据实际需求定制，确保结构稳定性和承重能力。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坐垫：加海绵软包，海绵密度适中，提供良好的舒适度和支撑力。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若椅子选用实木，材质应经过干燥处理（含水率8%-12%），避免后期开裂、变形，耐潮性优于普通实木，适合医院潮湿环境。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环保与安全要求：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符合GB18584-2024《家具中有害物质限量》要求。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甲醛释放量≤0.015mg/m³（气候箱法）。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总挥发性有机化合物（TVOC）释放率（72h）未检出。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可迁移元素（可溶性重金属）、邻苯二甲酸酯等有害物质未检出。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结构安全：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所有外露边缘、尖端应做倒圆处理，无毛刺、锐利边角。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任何可能卡住手指的孔、间隙，其直径或间隙应&lt;5mm或≥25mm。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产品应结构牢固，无永久性松动，确保整体稳定性，承重能力≥150公斤。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耐用性：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耐磨性：表面材料应具有良好的耐磨性，长期使用无明显磨损。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抗疲劳性：关键部件（如钢架、连接件等）应经过抗疲劳性测试，确保长期使用不变形。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功能配置（若适用）：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根据实际需求配置集成雾化设备、储物网篮、多媒体显示屏等辅助功能。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五金配件：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所有五金配件（如连接件、滑轨、调节脚垫等）应符合金属家具通用技术条件及相关标准。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雾化椅尺寸误差不超过±10毫米（针对关键尺寸如座高、座深、座宽等）。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张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患者椅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1、支架结构</w:t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ab/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金属四脚固定架，20×40mm×1.2mm加厚方管，二氧化碳保护焊，静电喷塑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2、背框材质：全新高韧性尼龙一体成型背框，无回料、无粉化、抗冲击、耐老化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3、座板</w:t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ab/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E1级环保曲木板，厚度≥12mm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4、海绵配置</w:t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ab/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座垫海绵≥45mm，靠背海绵≥30mm，高回弹定型，久坐不塌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5、面料</w:t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ab/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优质麻绒布/网布/PU皮，耐磨次数≥30000次，不起球、易清洁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6、整体尺寸</w:t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ab/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总高860-900mm，座高450-480mm，座宽460-500mm，座深400-440mm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7、靠背尺寸：高度420-460mm，一体加强筋结构，支撑性强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8、脚垫：PP静音防滑脚垫，不伤地面、无噪音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9、安全性能</w:t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ab/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静态承重≥200kg，靠背抗压≥50000次不开裂，全圆角防撞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10、环保标准：板材、尼龙、涂层均符合室内办公家具环保要求，无异味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11、质保服务：金属框架≥3年，尼龙背框≥2年，面料海绵配件≥1年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张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10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超声椅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产品适用于超声科、彩超室、B超室、心电图室、内镜室及介入室医师长期操作使用。坐面高度调节范围520mm至680mm，坐面尺寸宽450mm、深350mm至400mm，坐面前后平移0mm至50mm，靠背高度调节范围880mm至1040mm，靠背最大后仰角度0°至15°且可任意锁定，整体宽度不大于600mm，脚托圈直径不小于450mm且可升降。底座采用铝合金一体压铸五星脚，抛光处理，承重强、不变形、耐腐蚀；配置三级或四级防爆气动杆，通过SGS或TUV认证，升降寿命不低于30万次；脚轮为医用静音PU万向轮并带刹车，不伤地板、无噪音、耐磨防缠绕。坐靠垫采用高密度医用定型海绵，久坐不塌陷，面料为医用抗菌PU或有机硅皮革，防水、防油、耐酒精与84消毒液擦拭，抑菌率不低于99%；靠背采用人体工学腰托设计，可升降、可倾仰、可锁定。具备360°旋转、座高气动升降、座垫前后滑动、靠背倾仰调节并任意锁定、靠背高度可调、可升降环形脚踏圈功能，扶手可支持高度与角度调节，倾仰可自动回弹。额定承重不低于150kg，安全承重不低于175kg，靠背抗压测试不低于5万次不开裂不变形，整体全圆角防撞，无尖锐边角，具备防爆气杆与防夹手结构。产品无毒无异味，符合医用家具环保标准，面料无缝易清洁，可长期使用酒精、含氯消毒液擦拭。质保要求为铝合金底座不低于3年，气杆与底盘机构不低于2年，面料、海绵、脚轮不低于1年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把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11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诊断桌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产品为医用L型诊断桌，适用于诊室、医生办公、检查诊断使用。整体采用L型结构，主台面长度1200mm至1600mm，侧台长度800mm至1000mm，台面深度600mm至650mm，台面高度750mm，尺寸公差±10mm。台面采用环保高密度板材，厚度不低于25mm，表面贴防火耐磨面板，防水、耐刮、易清洁，可耐受酒精、84消毒液擦拭。桌体框架采用加厚金属方管焊接加固，结构稳固不晃动，边角全部做圆弧防撞处理。配置键盘托、主机位、抽屉或储物隔层，走线孔布局合理，满足医用办公设备使用需求。整体静态承重不低于80kg，符合E1级环保标准，无异味、无甲醛释放，适配医院诊室感控要求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张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12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检查床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一、尺寸规格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（一）整体外形尺寸长：2000mm（±5%），宽：700mm（±5%），高：550-750mm（可调节范围，±5%）。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（二）各部件尺寸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床头床尾板：高度800mm（±5%），宽度与床体宽度一致为700mm（±5%）。采用ABS工程塑料，一次性注塑成型，在不借助任何工具的情况下可自由拆卸，方便患者在检查过程中根据需要调整姿势或进行特殊检查。床尾板设置可放置检查单据或小型检查工具的凹槽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护栏：高度200mm（±5%），在检查床两侧可灵活安装与拆卸。铝合金护栏采用专用铝型材料，厚1.2mm，增强护栏的稳固性。护栏自锁机构为隐藏式枪把设计，D型铝合金扶手表面进行硬化处理，配备六支护栏支柱，耐磨、不易变形。护栏可收缩平放，通过单触点式手柄操作，升降灵活安全，在患者上下检查床时可放下，检查过程中可升起保障患者安全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升降丝杆：采用45#钢挤压成型，具备打滑保护装置，防止因过载导致丝杆损坏。同时设有防护装置，避免积尘影响升降功能的正常使用。摇把为金属材质，经久耐用，方便医护人员操作调节检查床高度。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二、材质与工艺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床面板：材质选用1.2mm厚冷轧钢条板，整体冲压而成，保证床面板的整体性和坚固性。承重力强，不低于250公斤，能够承受不同体型患者的重量。表面光滑且带有均匀分布的透气孔，透气孔直径为5-8mm，间距为15-20mm，保证患者在躺卧检查过程中的舒适性，同时便于清洁消毒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床架：钢制床架，采用1.2mm厚优质冷轧钢管制作。床框使用35mm×65mm×1.2mm碳钢矩管，床脚大架采用35mm×55mm×1.2mm的碳钢管，通过焊接工艺连接，使床体与床脚之间连接更加稳固可靠，确保检查床在使用过程中不会出现晃动或倾斜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脚架：采用优质冷轧钢制造，床面外框架采用55×30×1.8mm冷轧钢管，增强脚架的支撑能力，保证检查床整体稳定性。脚架底部配备可调节高度的地脚，方便在地面不平整的情况下调整检查床的水平状态。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表面处理：所有金属部件表面均经过酸洗、磷化处理后，采用静电喷塑工艺，喷涂环保型粉末涂料，颜色为根据医院整体装修风格调整。表面涂层厚度均匀，具有良好的耐腐蚀性和耐磨性，易于清洁维护，符合医院卫生要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三、功能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移动与制动功能：配备5寸双面静音轮，轮子材质为高弹性橡胶，具有良好的减震性能，移动灵活且噪音低，不会影响医院环境。制动装置采用可靠的刹车系统，制动稳定，确保检查床在固定位置时不会随意滑动，保障检查过程中的安全性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辅助检查功能：在床面板一侧设置可折叠的扶手，方便患者在检查过程中抓握，增加身体稳定性。床尾配备可伸缩的腿部支撑架，可根据患者腿部长度进行调整，为下肢检查提供更好的支撑。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四、有害物质限量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甲醛、苯、甲苯、二甲苯、TVOC等有害物质未检出或符合相关环保标准限量要求，确保检查床在使用过程中不会释放有害气体。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五、结构安全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边角处理：所有边角进行倒圆处理，倒圆半径不小于10mm，防止患者和医护人员在操作过程中碰撞受伤。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防护措施：对检查床的剪切和挤压点进行全面防护，采用防护套或防护栏等措施，确保患者身体任何部位不会被夹伤或挤压。孔及间隙安全尺寸符合标准，避免患者手指或其他部位卡入，保障使用安全。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张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13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转椅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座面材质：黑色皮革或优质网布面料，检验依据GB18401-2010标准，甲醛含量未检出，无异味，染色牢度达到4级或以上，可分解致癌芳香胺染料未检出，抗拉性好，经防静电、防尘处理。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凳脚材质：碳钢电镀或钢制脚架，钢制部件经酸洗、磷化、喷塑处理，确保耐腐蚀性和稳固性。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靠背设计：带靠背，靠背材质可为聚丙烯注塑成型或黑色全新PP+玻纤背框，扪华宇透气网布，符合人体工程学原理设计，提供良好支撑。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腰靠设计：可选配黑色PP升降腰靠，提供个性化支撑。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扶手设计：黑色PP连体固定扶手或PU面3D扶手，根据实际需求选择。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海绵材质：座包一体成型定型海绵或优质定型海绵，不易变形，软硬适中，回弹性好，颜色均匀，无刺激性气味，不得使用黑芯绵。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底盘与气压棒：配置多功能底盘，三级气压棒，管壁厚度不小于2.0mm，通过10万次升降旋转安全测试，确保使用安全。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脚架与脚轮：电镀活动五星脚架或铝合金脚，配静音脚轮，方便移动且噪音低。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调节功能：座高可升降调节，头枕、靠背、腰枕可上下调节，以匹配不同身高人群，360°循环旋转，灵活办公。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安全性与稳定性：通过稳定性测试，无倾覆风险；所有连接部件牢固可靠，边角做圆滑处理，防止碰撞伤害。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环保性能：符合GB18584-2024《家具中有害物质限量》，甲醛释放量≤0.015mg/m³（气候箱法），总挥发性有机化合物未检出。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把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14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单面药柜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材质：主体采用304不锈钢材质，防锈、防腐蚀、易清洁，符合医疗场所卫生标准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结构形式：单面开放式，单侧均可存取药品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外形尺寸：高2000mm×宽1200mm×深500mm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层数：双面共4层，层板间距可自由调节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轨道设计：配备静音滑轨/有轨结构，药盘可顺畅抽拉，带防脱轨设计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药盘功能：药盘可倾斜、可平放，便于药品分类摆放与拿取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表面工艺：表面精细打磨，光滑无毛刺，整体牢固美观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承重性能：层板承重稳定，整体结构稳固，长期使用不变形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底部设计：带可调底脚，可适应不平整地面，摆放平稳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整体焊接牢固，无虚焊、漏焊，边角圆润无尖锐棱角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不锈钢板材厚度达标，强度足够，无明显晃动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导轨推拉顺滑，无异响，承重后不变形、不卡顿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整体设计符合药房使用规范，便于清洁消毒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组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15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双面药柜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材质：主体采用304不锈钢材质，防锈、防腐蚀、易清洁，符合医疗场所卫生标准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结构形式：双面开放式，双侧均可存取药品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外形尺寸：高2000mm×宽800mm×深500mm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层数：双面共4层，层板间距可自由调节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轨道设计：配备静音滑轨/有轨结构，药盘可顺畅抽拉，带防脱轨设计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药盘功能：药盘可倾斜、可平放，便于药品分类摆放与拿取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表面工艺：表面精细打磨，光滑无毛刺，整体牢固美观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承重性能：层板承重稳定，整体结构稳固，长期使用不变形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底部设计：带可调底脚，可适应不平整地面，摆放平稳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整体焊接牢固，无虚焊、漏焊，边角圆润无尖锐棱角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不锈钢板材厚度达标，强度足够，无明显晃动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导轨推拉顺滑，无异响，承重后不变形、不卡顿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整体设计符合药房使用规范，便于清洁消毒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组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16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高低床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eastAsia="宋体" w:cs="仿宋"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执行标准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产品焊接、成型、喷涂、结构强度均严格遵循民用宿舍家具通用制作规范，成品需满足宿舍高频使用场景下的耐磨、高承重、防腐蚀、不易损坏及安全防护要求，结构稳固，符合集体住宿安全使用标准。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2、整体外形尺寸参数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本款高低床所有尺寸单位为毫米，制作公差控制在±5毫米以内。具体尺寸参数如下：床体总长2000毫米，为外框整体尺寸；床体总宽900毫米，属于通用宿舍标准尺寸；床体总高度1800毫米，包含护栏、防滑脚垫整体高度；下铺离地高度400毫米，底部空间可放置收纳储物箱；上下铺净空高度不小于1050毫米，保障成人正常坐姿不碰头，提升使用舒适度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3、结构材料规格（钢制高低床标准版）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3.1立柱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床体立柱采用优质方形钢管制作，管材规格为60×60毫米，管壁厚度1.2毫米。立柱表面光滑无毛刺、无弯折变形，安装完成后垂直度误差不超过2毫米，保证床体直立稳固，无倾斜晃动。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3.2横梁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床体承重横梁采用异型加强钢管，管材规格为75×30毫米，管壁厚度1.2毫米。加厚横梁结构强度高，受力均匀，能够有效避免床体使用过程中产生晃动、异响，提升整体稳定性。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3.3床板支撑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床体内部加装加强承重龙骨，强化承重能力。床板选用优质多层实木胶合板，板材厚度不低于12毫米；床板铺设排布均匀，板间间隙不大于50毫米，成品床板无松动、无开裂、无虫蛀、无明显瑕疵。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3.4安全防护结构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上铺配备一体式安全护栏，护栏垂直高度不低于300毫米，床垫表面至护栏顶端高度不小于200毫米，防护栏间隙控制在60至70毫米之间，防止人员跌落、卡夹。床体配置固定式爬梯，爬梯踏板间距250毫米，踏板宽度不小于400毫米，踏板表面做防滑处理，边角全部圆弧钝化，无尖锐棱角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3.5表面工艺处理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钢制管材表面经过除油、除锈、磷化预处理，采用静电喷塑工艺喷涂，涂层均匀附着力强，不易掉漆、生锈、刮花。表面触感光滑平整，无气泡、流挂、划痕、凹凸瑕疵，环保无味，符合室内使用环保标准。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3.6焊接与连接工艺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所有焊接部位采用满焊工艺，焊点饱满平整，无虚焊、漏焊、夹渣、烧穿等缺陷，焊接后打磨抛光无毛刺。床体采用螺栓加固连接，拆装便捷，连接缝隙严密，安装完成后整体无松动位移。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4、性能承重要求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单层床铺静态承重能力不低于200千克，受力均匀无明显形变、弯曲。床体整体结构抗摇晃、抗冲击，长期使用无变形、无异响，满足宿舍高频次、长时间使用工况。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张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17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值班室床头柜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整体尺寸为长450mm、宽450mm、高550mm，尺寸公差±10mm。柜体采用E1级环保板材制作，板材厚度不低于16mm，表面平整耐磨、易清洁。柜体上部为封闭式抽屉，下部为对开门储物空间，内部空间布局合理，可放置日常用品。配置优质静音铰链与滑轨，开关顺畅无噪音，拉手采用隐藏式或圆角设计，无尖锐棱角。底部设有可调节脚垫，放置平稳，适应不同地面。整体结构牢固，静态承重不低于50kg，环保无异味，符合室内家具使用标准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组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18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医护椅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1、支架结构</w:t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ab/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金属四脚固定架，20×40mm×1.2mm加厚方管，二氧化碳保护焊，静电喷塑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2、背框材质：全新高韧性尼龙一体成型背框，无回料、无粉化、抗冲击、耐老化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3、座板</w:t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ab/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E1级环保曲木板，厚度≥12mm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4、海绵配置</w:t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ab/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座垫海绵≥45mm，靠背海绵≥30mm，高回弹定型，久坐不塌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5、面料</w:t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ab/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优质麻绒布/网布/PU皮，耐磨次数≥30000次，不起球、易清洁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6、整体尺寸</w:t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ab/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总高860-900mm，座高450-480mm，座宽460-500mm，座深400-440mm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7、靠背尺寸：高度420-460mm，一体加强筋结构，支撑性强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8、脚垫：PP静音防滑脚垫，不伤地面、无噪音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9、安全性能</w:t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ab/>
            </w: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静态承重≥200kg，靠背抗压≥50000次不开裂，全圆角防撞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10、环保标准：板材、尼龙、涂层均符合室内办公家具环保要求，无异味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11、质保服务：金属框架≥3年，尼龙背框≥2年，面料海绵配件≥1年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把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19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条桌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适用于会议、培训、拼接组合使用。桌体采用优质环保E1级密度板或刨花板为基材，台面贴防火耐磨面板，厚度不低于25mm，表面平整光滑、耐刮擦、易清洁，边缘经圆弧倒角防撞处理，无尖锐棱角。常规标准尺寸为长度1200mm，宽度400mm至450mm，高度750mm，尺寸公差±10mm。桌架采用加厚冷轧钢管方管制作，壁厚不低于1.2mm，经焊接加固与静电喷塑防锈处理，结构稳固不晃动；底部配备静音防滑脚垫，可调节平稳，保护地面不划伤。整体静态承重不低于80kg，环保无异味、甲醛释放量达标，可多桌无缝拼接成长条会议桌、U型桌、回型桌等多种布局，满足各类会议、培训、办公使用需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张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20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移动可拼接式会议桌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标准单元桌尺寸为长1200mm、宽500mm-600mm、高750mm，尺寸公差±10mm；桌面基材采用E1级环保高密度板或刨花板，厚度不低于25mm，饰面为三聚氰胺防火板，耐磨次数不低于3万次，耐刮抗污、易清洁，甲醛释放量≤0.05mg/m³；采用2mm厚PVC封边条四封边处理，边缘做R3-R5圆弧倒角防撞处理；桌架为加厚冷轧钢管方管，壁厚不低于1.2mm，经焊接加固与静电喷塑防锈处理，静态承重不低于150kg/单元；每单元配置4个PU静音万向脚轮，其中2个带刹车，耐磨静音、不划伤地面，刹车锁定后稳固不位移；侧边配备金属拼接卡扣与定位槽，可快速与其他单元桌无缝拼接、拆卸便捷；桌面预留直径不低于60mm的走线盒或线孔，可选配内置电源插座与USB接口，方便隐藏线缆；整体无异味、符合室内办公家具环保标准，边角全圆弧处理，无尖锐棱角；质保期桌架不低于3年，板材及五金配件不低于1年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张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21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大型会议桌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尺寸规格：根据会议室定制。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材料：采用E0级实木颗粒板或符合E0级标准的MFC板材，表面装饰层纹理清晰、自然，色彩亮丽、饱满，整体真实感强、光泽柔和、手感细腻；具有不易燃、耐磨、防污、硬度高、刚性好、不易变形等特点。基材经过防虫、防腐、耐酸碱处理，具有环保、无异味、强度高，便于加工等优点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环保要求：甲醛释放量≤0.015mg/m³（1m³气候箱法），苯、甲苯、二甲苯未检出，总挥发性有机化合物（TVOC）≤0.3mg/m³，符合GB18584-2024《家具中有害物质限量》的要求。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结构安全：所有外露边角及边缘均应倒圆处理，倒圆半径不小于2mm；剪切和挤压点间隙应小于7mm或大于等于18mm，以防夹伤；任何可能造成身体部位陷入的孔、间隙，其直径或间隙应小于5mm或大于等于12mm。符合GB28008-2024《家具结构安全技术规范》的要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力学性能：桌面应能承受均匀分布的100公斤静载荷，卸载后无永久变形、开裂；桌体应通过水平稳定性测试，在前向、侧向加载规定力时无倾翻。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主要板材厚度：台面板厚度≥25mm，其他板材厚度为16mm。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配置：主台+对开门柜+内部走线系统（预留走线孔，配备橡胶护圈）。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五金配置：阻尼门铰、连接件等优质五金配件，五金脚表面静电喷涂砂白处理。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封边：采用PVC优质封边或2.0mm厚全自动封边工艺，环保热熔胶机械化封边，封边严密、平整，与整块板材严丝合缝，无脱胶、表面无胶渍，防水、防潮、不变色。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人体工学：桌面高度为750mm，符合人体工学原理。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张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22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培训椅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整体尺寸：约860×480×520mm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座高：450mm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座面：450×400mm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写字板尺寸：约380×240mm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折叠后厚度：≤100mm，节省收纳空间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靠背：高弹性透气网布，久坐不闷、支撑性好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座垫：高密度海绵+耐磨布艺，回弹好、不易塌陷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框架：加厚金属钢管，静电喷塑，防锈、牢固耐用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写字板：PP环保塑料/密度板，轻便耐摔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脚轮：静音万向轮，移动顺滑、不伤地面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连接件：加厚五金件，承重力强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可折叠设计，收纳方便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一体式写字板，可翻转/可折叠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带靠背，人体工学支撑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底部带轮，便于移动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一椅多用：会议、培训、办公通用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把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23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餐桌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尺寸规格：常规尺寸，根据实际需求定制。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面材：采用优质E0级实木颗粒板，表面装饰层纹理清晰、自然，色彩亮丽、饱满，整体真实感强、光泽柔和、手感细腻；具有不易燃、耐磨、防污、硬度高、刚性好、不易变形等特点。检验依据GB/T15102-2017、GB18580-2017、GB/T35601-2017标准，内结合强度：≥0.45Mpa，表面胶合强度≥1.2Mpa，含水率≤8%，2h吸水厚度膨胀率≤1%，表面耐香烟灼烧、表面耐干热、表面耐污染腐蚀、表面耐龟裂、表面耐水蒸气均达到5级，甲醛释放限量（1m³气候箱法）≤0.015mg/m³,挥发性有机化合物（苯、甲苯、二甲苯）未检出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基材：采用通过国家标准环保的颗粒纤维板或优质橡木实木，达到欧洲E1级标准，甲醛释放量＜0.015mg/m³；经过防虫、防腐、耐酸碱处理，具有环保、无异味、强度高，便于加工等优点。或采用密度板，防火板表面，含水率6%—14%，24h吸水膨胀率≤12%，表面耐香烟灼烧、表面耐污染腐蚀、表面耐龟裂、耐光色牢度符合要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封边：采用PVC优质封边或中空铝合金E型材嵌入式封边，环保热熔胶机械化封边，封边严密、平整，与整块板材严丝合缝，无脱胶、表面无胶渍。甲醛释放量≦0.1mg/L。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台面设计：台面双层设计，上层为岩板下层为实木多层板。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脚架：不锈钢，底盘700*400*8MM为不锈钢包实芯钢板，支柱（双支柱）为直径76*1.0MM不锈钢管，托盘为250*250*2.0MM实芯钢板，确保脚架结构牢固。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结构安全：所有边角进行倒圆处理，倒圆半径不小于规定值；剪切和挤压点防护措施到位；孔及间隙安全尺寸符合标准，避免夹伤手指。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有害物质限量：甲醛释放量≤0.015mg/m³（1m³气候箱法），苯、甲苯、二甲苯、TVOC等有害物质未检出或符合相关环保标准限量要求。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功能完整性：餐桌承重能力不低于100公斤，稳定性好，经过前向、侧向、后向稳定性测试，防止倾翻。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人体工学：桌面高度、倾斜角度等设计符合人体工学原理，确保使用舒适。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五金配件：所有五金配件符合金属家具通用技术条件，确保牢固耐用。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张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24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礼堂椅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整体采用优质冷轧钢板冲压成型框架，结构牢固耐用，静态承重不低于150kg。座椅整体尺寸为座宽480mm至520mm，座深450mm至480mm，座高420mm至450mm，整体高度950mm至1050mm。座垫与靠背采用高密度定型海绵，表面包裹耐磨布艺或阻燃麻绒面料，阻燃等级符合公共场所安全标准，久坐不易塌陷。座椅配备自动回弹机构，无噪音、复位平稳，不占用通道空间。扶手采用实木或ABS工程塑料材质，坚固耐用；座椅底部配备写字板支架，可配置活动式翻转写字板，使用灵活。椅脚与地面连接牢固，可采用落地式或连排固定结构，排距合理，行走安全。整体边角圆润无尖锐棱角，符合公共安全使用要求，环保无异味，易于清洁维护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位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25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货架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尺寸规格：货架尺寸为1500mm(L)×500mm(W)×2000mm(H)，允许正负公差±5mm。其他规格货架需明确标注尺寸及公差范围。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材料：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基材采用≥1.0mm厚冷轧钢板或优质SUS304不锈钢，符合相关国家标准。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立柱采用30*30*≥1.0mm方管（不锈钢或冷轧钢），层板采用≥0.8mm厚冷轧钢板或不锈钢板，确保承重能力。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表面处理：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金属件表层先经过除油、除锈、酸洗、磷化处理，再采用高压静电喷涂工艺，再进行表面烤漆处理，确保涂层均匀、吸附力强、不易脱落。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涂层应符合GB30981《工业防护涂料中有害物质限量》的要求，限制VOC、苯、甲苯、二甲苯、重金属等有害物质的含量。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若使用木质部件（如层板背板），其甲醛释放量应符合GB18580《室内装饰装修材料人造板及其制品中甲醛释放限量》的要求。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结构安全：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所有外露边角及边缘均应倒圆处理，倒圆半径不小于2mm。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剪切和挤压点间隙应小于7mm或大于等于18mm，以防夹伤。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任何可能造成身体部位陷入的孔、间隙，其直径或间隙应小于5mm或大于等于12mm。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货架应配置防撞栏（高度≥100mm）、货物挡杆及清晰的荷载标识牌。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功能配置：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货架整体可以拆装，整架共分5层4格（可根据现场情况定制），每层节距可以自由调节，以满足摆放不同大小的物品。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主架配置层板，可根据需求配置扶手、储物功能等。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稳定性与力学性能：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货架应具有良好的稳定性，通过水平稳定性测试。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货架应能承受均匀分布的额定载荷（如每层500kg），卸载后无永久变形、开裂。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货架立柱、横梁等主要受力部件的强度、刚度需经过严格计算和测试，符合相关国家标准。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组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26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密集柜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底座：用优质冷轧钢制造，框狭式结构，采用中间传动，全轮驱动方式，车轮内装双排精密轴承，传动轴为实心优质钢结构。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轨道：轨道方钢采用优质冷轧方钢制造，轨道底座为三折弯工艺，采用优质冷轧钢制造，厚度为2.5mm，轨道板δ=2.0mm，热轧钢板表面镀锌，轨道方钢≥20×20mm，实心方钢表面镀锌，在轨道末端装上限位装置，以防滚轮滑出轨道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架体：采用优质冷轧钢板，底盘≥2.0mm，立柱≥1.5mm，搁板、挂板、门框均≥1.0mm，门面板、顶板、防鼠板、防尘板≥1.0mm，搁板两侧边经折弯翻边成形厚度≥25mm，承重≥80KG，层数和层距可自由调整，每列架体需设斜拉筋，所有列摇合后，正面平面度允许偏差1.5mm，立柱的正面宽为50mm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侧板：采用上、中、下三段式组成(横三节式)板材厚度≥1.0mm，每块侧板上配备两个钢制标签框（根据客户需求）。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表面处理：所有零部件经过酸洗磷化处理，高压静电喷塑，确保有害物质释放量符合GB18584—2024标准。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摇手体总成：滚轮轴承，双向超越离合器结构，造型美观大方，手感舒适，把手为折叠式，避免通道障碍，摇动任意一列均不会带动其他把手转动。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制动装置：每列均装有制动装置，操作方便，制动可靠，使用存取安全。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防震装置：采用磁性密封条，每列接触面均有缓冲及密封装置，具有防震、防尘、防鼠、防光、防潮、防火功能。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规格：（长×宽×高）根据实际需求定制，钢制，双面双柱式，6层，轨道数量根据实际尺寸合理安排生产，每个区域最外列需安装门板，每列密集架两侧的侧护板上，需在使用方指定位置打上标志。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边列配锁定装置，全部锁具使用相同钥匙，中间每列均装有制动装置。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底盘：采用整体焊接，顶部有防尘板，底部有防鼠及防倾倒装置，每列接触面均有缓冲及磁性密封条。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结构安全：所有边角进行倒圆处理，倒圆半径不小于规定值，活动部件配备防脱落装置或带有不小于5号黑体字的永久性警示标识，剪切和挤压点防护措施到位，孔及间隙安全尺寸符合标准，符合GB28008—2024稳定性要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有害物质限量：甲醛释放量≤0.015mg/m³（1m³气候箱法），苯、甲苯、二甲苯、TVOC等有害物质未检出或符合GB18584—2024标准限量要求。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㎡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27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餐椅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尺寸规格：常规尺寸，根据实际需求定制，同时确保桌下净空高与椅凳座面配合高度差符合人体工学要求。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主要材料：座板采用加厚加强型成型实木多层板材、底接弯曲木板，面压国产防火板，座面高密度海绵扪环保皮；椅架选用一级钢管，经过酸洗、磷化处理等多道除锈工艺，表面光滑平整。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结构安全：所有边角进行倒圆处理，倒圆半径不小于规定值；剪切和挤压点防护措施到位；孔及间隙安全尺寸符合标准，避免夹伤手指。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有害物质限量：甲醛释放量≤0.015mg/m³（1m³气候箱法），苯、甲苯、二甲苯、TVOC等有害物质未检出或符合相关环保标准限量要求；封边条甲醛释放量≦0.1mg/L。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功能完整性：餐椅承重能力不低于100公斤，稳定性好，经过前向、侧向、后向稳定性测试，防止倾翻。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人体工学：座深、座宽、靠背角度等设计符合人体工学原理，确保就座舒适。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阻燃、耐磨、易清洁性能：采用优质E1级环保MFC饰面板或防火板表面，具有阻燃、耐磨、易清洁性能。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五金配件：所有五金配件符合金属家具通用技术条件，确保牢固耐用。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把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220</w:t>
            </w:r>
          </w:p>
        </w:tc>
      </w:tr>
    </w:tbl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包2：定制家具</w:t>
      </w:r>
    </w:p>
    <w:tbl>
      <w:tblPr>
        <w:tblStyle w:val="11"/>
        <w:tblW w:w="1414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1310"/>
        <w:gridCol w:w="9788"/>
        <w:gridCol w:w="912"/>
        <w:gridCol w:w="11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产品名称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参数要求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单位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病房定制衣柜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尺寸规格：根据现场定制。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整体采用优质环保材质制作，结构稳固、便于清洁消毒，符合医院感控要求。柜体环保实木颗粒板，板材厚度不低于16mm，表面光滑平整、耐磨耐刮、防水防潮，可耐受酒精、84消毒液常规擦拭。柜体尺寸根据现场定制。内部配置挂衣杆、层板、抽屉或储物格，分区合理，满足衣物、生活用品存放需求；挂衣杆采用不锈钢材质，承重牢固，层板高度可按需调节。柜门为对开门或平开门，配置优质静音合页，开关顺畅、不易松动，配备隐藏式拉手或防撞圆角拉手，无尖锐棱角，防止磕碰。柜体底部设有可调节脚垫，保证放置平稳，适应不同地面。整体静态承重不低于100kg，环保性能符合E1级环保标准，无甲醛、无异味，适合病房长期使用。金属部件经防锈处理，使用寿命长，整体质保不低于1年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组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治疗柜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面材:采用贴面，纹路清晰、色泽美观、结构均匀。基材:采用环保实木颗粒板，所有板材均经过防虫、防腐等化学处理，甲醛释放量:1.5mg/，含水率小于10%1%%，性能稳定，符合GB/T11718-2009和GB/T18580-2001国家标准。封边:选用PVC封边，自动封边机进行封边处理，坚固耐用，防止因温差大的情况下使水分入侵，造成变形开器,40℃+2℃,相对温度98%~99%和-20℃+2℃,各1h,3周期,试验后无鼓泡，开裂缝、变形。粘合剂:采用进口热熔胶，游离甲醛释放约为0，耐热耐寒、防水、绿色无污染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参考参数2：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1、0.7mm优质冷轧板；2、内活动层板；3、底部含可调节脚，管理钥匙功能锁具，缓冲阻尼铰链，钢制内嵌拉手；4、柜体：亚光白；门板：亚光白；拉手：亚光白。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参考参数3：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1、面材：采用优质E0级实木颗粒板，检验依据GB/T15102-2017、GB18580-2017、GB/T35601-2017标准，内结合强度：≥0.45Mpa，表面胶合强度≥1.2Mpa，含水率≤8%，2h吸水厚度膨胀率≤1%，表面耐香烟灼烧、表面耐干热、表面耐污染腐蚀、表面耐龟裂、表面耐水蒸气均达到5级，甲醛释放限量（1m³气候箱法）≤0.015mg/m³,挥发性有机化合物（苯、甲苯、二甲苯）未检出，总挥发性有机化合物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参考参数4：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规格：2150*500*2600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1、基材：采用实木颗粒板，符合刨花板、人造板及饰面人造板理化性能试验方法、人造板及其制品甲醛释放量分级、绿色产品评价人造板和木质地板标准，密度≥0.70g/cm³，含水率7-8%，甲醛释放量≤0.015mg/m³，产品总挥发性有机化合物（TVOC）的释放率(72h)、挥发性有机化合物（72h）：苯、甲苯、二甲苯、总挥发性有机化合物(TVOC)均未检出，弹性模量≥3590MPa，内胶合强度≥0.5MPa，表面胶合强度≥1.3MPa，24h吸水厚度膨胀率≤6%、2h吸水厚度膨胀率≤1.8%，静曲强度≥25MPa，板面握螺钉力≥1420N，板边握螺钉力≥1030N，循环试验后内胶合强度≥0.25MPa，循环试验后吸水厚度膨胀率≤8MPa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2、贴面材料：采用三聚氰胺纸饰面，符合饰面用浸渍胶膜纸标准要求，外观质量：无胶粉、边缘缺损、皱褶，颜色匹配，挥发物含量5.3-5.6%，预固化度33-36%。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3、封边：符合家具用封边条技术要求标准，塑料封边条外观未见缺陷，厚度及其偏差检测合格，耐光色牢度（灰色样卡）＞4级，耐干热性无龟裂、无鼓泡，耐磨性磨60r后应无露底现象，耐开裂性（耐龟裂性）为1级，耐老化性无开裂，耐冷热循环性无龟裂、无鼓泡、无变色、无起皱，封边条甲醛释放量、可迁移元素（可溶性重金属：锑、砷、钡、镉、铬、铅、汞、硒）、邻苯二甲酸酯（DBP、BBP、DEHP、DNOP、DINP和DIDP）均未检出，多溴联苯、多溴联苯醚均禁用未检出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4、五金配件：所有五金配件符合金属家具通用技术条件。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延米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医护更衣柜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尺寸规格：根据现场定制。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材料：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柜体及门板：采用≥0.8mm厚度的冷轧钢板，经过酸洗、磷化处理等多道除锈工艺，确保耐压、强度大、抗冲击、承重高。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内部隔板及挂衣杆：采用≥0.6mm厚度的冷轧钢板或优质三聚氰胺板，具有防水、防潮、耐磨等特性。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封边：选用优质PVC封边条，封边平滑，颜色与板材一致。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环保要求：甲醛释放量≤0.015mg/m³（1m³气候箱法），苯、甲苯、二甲苯未检出，总挥发性有机化合物（TVOC）≤0.3mg/m³，符合GB18584-2024《家具中有害物质限量》的要求。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结构安全：所有外露边角及边缘均应倒圆处理，倒圆半径不小于2mm；剪切和挤压点间隙应小于7mm或大于等于18mm，以防夹伤；任何可能造成身体部位陷入的孔、间隙，其直径或间隙应小于5mm或大于等于12mm。符合GB28008-2024《家具结构安全技术规范》的要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表面处理：采用静电喷涂工艺，表面涂膜均匀，粉末吸附力强、不易脱落，涂层稳定性和色泽好，产品抗腐蚀能力和防锈能力强。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功能配置：主柜（6个单开掩门+层板+挂衣杆），配备长方形镜子，方便使用。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五金配件：采用合格五金配件，如机械锁具、拉手、挂衣杆等，确保开启灵活、互开率低。锁具需符合GB/T3325-2017等相关标准。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稳定性与力学性能：更衣柜应具有良好的稳定性，通过水平稳定性测试；柜门、抽屉等应能承受均匀分布的50公斤静载荷，卸载后无永久变形、开裂。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人体工学：更衣柜高度为1850mm，内部隔板布局合理，方便存放和取用物品。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其他特性：柜体设计考虑透气性能，如冲孔设计；可选配ABS不易破碎的扣手等个性化设计。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换鞋柜</w:t>
            </w:r>
          </w:p>
        </w:tc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规格尺寸：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整体尺寸：根据实际需求定制，范围为高度1200-2000mm、宽度400-600mm、深度300-400mm。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每格尺寸：深度≥300mm、宽度≥200mm、高度≥150mm（根据实际需求调整）。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主要材料：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面材：采用符合E0级或更高等级环保标准的实木颗粒板或碳钢钢板等，密度≥0.70g/cm³，含水率≤8%，甲醛释放量≤0.015mg/m³（气候箱法），总挥发性有机化合物（TVOC）释放率（72h）未检出。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基材：采用优质碳钢钢板或符合相关标准的板材，厚度≥0.8mm（根据实际需求可调整）。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涂层：采用环保抗菌粉末静电喷涂处理，涂层硬度≥5H，耐腐蚀等级≥9级，符合相关国家标准或行业标准。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环保与安全要求：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符合GB18584-2024《家具中有害物质限量》要求。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甲醛释放量≤0.015mg/m³（气候箱法）。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总挥发性有机化合物（TVOC）释放率（72h）未检出或符合相关标准。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可迁移元素（可溶性重金属）、邻苯二甲酸酯等有害物质未检出。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结构安全：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所有外露边缘、尖端应做倒圆处理，无毛刺、锐利边角。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任何可能卡住手指的孔、间隙，其直径或间隙应&lt;5mm或≥25mm。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产品应结构牢固，无永久性松动，确保整体稳定性，承重能力≥50公斤/格。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耐用性：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耐磨性：表面材料应具有良好的耐磨性，长期使用无明显磨损。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抗疲劳性：关键部件（如钢板、连接件等）应经过抗疲劳性测试，确保长期使用不变形。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通风与防潮：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设计有合理的通风结构（如透气孔、通风栅格），保持鞋柜内部干燥、空气流通。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材质具备优异的防潮性能，防止在潮湿环境下滋生霉菌、细菌。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功能配置：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每格配置安全锁，确保物品安全。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可配置长方形镜子等人性化设计，方便医护人员使用。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五金配件：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所有五金配件（如门铰、锁具等）应符合金属家具通用技术条件及相关标准。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kern w:val="0"/>
                <w:sz w:val="24"/>
                <w:szCs w:val="24"/>
                <w:lang w:bidi="ar"/>
              </w:rPr>
              <w:t>鞋柜尺寸误差不超过±5毫米（针对关键尺寸如高度、宽度、深度等）。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组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185</w:t>
            </w:r>
          </w:p>
        </w:tc>
      </w:tr>
    </w:tbl>
    <w:p>
      <w:pPr>
        <w:pStyle w:val="3"/>
        <w:bidi w:val="0"/>
        <w:jc w:val="center"/>
        <w:rPr>
          <w:rFonts w:hint="eastAsia"/>
          <w:lang w:val="en-US" w:eastAsia="zh-CN"/>
        </w:rPr>
      </w:pPr>
    </w:p>
    <w:p>
      <w:pPr>
        <w:pStyle w:val="3"/>
        <w:bidi w:val="0"/>
        <w:jc w:val="center"/>
        <w:rPr>
          <w:rFonts w:hint="eastAsia"/>
          <w:lang w:val="en-US" w:eastAsia="zh-CN"/>
        </w:rPr>
      </w:pPr>
    </w:p>
    <w:p>
      <w:pPr>
        <w:pStyle w:val="3"/>
        <w:bidi w:val="0"/>
        <w:ind w:left="0" w:leftChars="0" w:firstLine="0" w:firstLineChars="0"/>
        <w:jc w:val="both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报价单</w:t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包1：通用家具</w:t>
      </w:r>
    </w:p>
    <w:tbl>
      <w:tblPr>
        <w:tblStyle w:val="11"/>
        <w:tblW w:w="128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4505"/>
        <w:gridCol w:w="1675"/>
        <w:gridCol w:w="1620"/>
        <w:gridCol w:w="1755"/>
        <w:gridCol w:w="1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货物名称</w:t>
            </w:r>
          </w:p>
          <w:p>
            <w:pPr>
              <w:widowControl w:val="0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（标的名称）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数量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单价（元）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合计（元）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陪护床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500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等候椅（二人位）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等候椅（三人位）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等候椅（四人位）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26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等候椅（五人位）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输液椅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12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雾化桌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8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雾化椅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9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患者椅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超声椅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38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11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诊断桌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50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检查床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120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转椅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单面药柜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42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双面药柜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51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高低床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272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值班室床头柜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95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医护椅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700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条桌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240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移动可拼接式会议桌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380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大型会议桌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培训椅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450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餐桌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34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礼堂椅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211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货架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330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密集柜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1250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餐椅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220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总合计（元）</w:t>
            </w:r>
          </w:p>
        </w:tc>
        <w:tc>
          <w:tcPr>
            <w:tcW w:w="5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合计大写：</w:t>
            </w:r>
          </w:p>
        </w:tc>
      </w:tr>
    </w:tbl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包2：定制家具</w:t>
      </w:r>
    </w:p>
    <w:tbl>
      <w:tblPr>
        <w:tblStyle w:val="11"/>
        <w:tblW w:w="128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4505"/>
        <w:gridCol w:w="1675"/>
        <w:gridCol w:w="1620"/>
        <w:gridCol w:w="1755"/>
        <w:gridCol w:w="1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货物名称</w:t>
            </w:r>
          </w:p>
          <w:p>
            <w:pPr>
              <w:widowControl w:val="0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（标的名称）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ind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数量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单价（元）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合计（元）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病房定制衣柜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391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治疗柜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419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医护更衣柜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400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换鞋柜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185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公司名称：                    （单位公章）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法定代表人/单位负责人或授权代表（签字或加盖个人名章） 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报价日期：2026年  月   日</w:t>
      </w:r>
    </w:p>
    <w:bookmarkEnd w:id="0"/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firstLine="964" w:firstLineChars="300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供应商在以上参数基础上报价（注：仅作为预算参考）。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bookmarkStart w:id="1" w:name="_GoBack"/>
      <w:bookmarkEnd w:id="1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0000000"/>
    <w:lvl w:ilvl="0" w:tentative="0">
      <w:start w:val="1"/>
      <w:numFmt w:val="chineseCountingThousand"/>
      <w:pStyle w:val="18"/>
      <w:suff w:val="space"/>
      <w:lvlText w:val="%1、"/>
      <w:lvlJc w:val="left"/>
      <w:pPr>
        <w:ind w:left="0" w:firstLine="0"/>
      </w:pPr>
      <w:rPr>
        <w:rFonts w:hint="eastAsia"/>
        <w:b/>
      </w:rPr>
    </w:lvl>
    <w:lvl w:ilvl="1" w:tentative="0">
      <w:start w:val="1"/>
      <w:numFmt w:val="decimal"/>
      <w:pStyle w:val="19"/>
      <w:suff w:val="space"/>
      <w:lvlText w:val="%1.%2"/>
      <w:lvlJc w:val="left"/>
      <w:pPr>
        <w:ind w:left="284" w:firstLine="0"/>
      </w:pPr>
      <w:rPr>
        <w:rFonts w:hint="eastAsia"/>
        <w:spacing w:val="0"/>
        <w:w w:val="100"/>
        <w:kern w:val="21"/>
      </w:rPr>
    </w:lvl>
    <w:lvl w:ilvl="2" w:tentative="0">
      <w:start w:val="1"/>
      <w:numFmt w:val="decimal"/>
      <w:pStyle w:val="20"/>
      <w:suff w:val="space"/>
      <w:lvlText w:val="%1.%2.%3"/>
      <w:lvlJc w:val="left"/>
      <w:pPr>
        <w:ind w:left="2541" w:firstLine="0"/>
      </w:pPr>
      <w:rPr>
        <w:rFonts w:hint="eastAsia"/>
        <w:color w:val="000000"/>
      </w:rPr>
    </w:lvl>
    <w:lvl w:ilvl="3" w:tentative="0">
      <w:start w:val="1"/>
      <w:numFmt w:val="decimal"/>
      <w:lvlText w:val="%1.%2.%3.%4"/>
      <w:lvlJc w:val="left"/>
      <w:pPr>
        <w:ind w:left="852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136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42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704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988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2272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11607"/>
    <w:rsid w:val="01380482"/>
    <w:rsid w:val="01DB6127"/>
    <w:rsid w:val="02801098"/>
    <w:rsid w:val="034B2E38"/>
    <w:rsid w:val="040C7417"/>
    <w:rsid w:val="04207DE8"/>
    <w:rsid w:val="04826D2E"/>
    <w:rsid w:val="04836EC1"/>
    <w:rsid w:val="055C3A53"/>
    <w:rsid w:val="059960DD"/>
    <w:rsid w:val="05EB17A9"/>
    <w:rsid w:val="0741366C"/>
    <w:rsid w:val="08167EB9"/>
    <w:rsid w:val="086F1AAE"/>
    <w:rsid w:val="08FA3336"/>
    <w:rsid w:val="0AD93310"/>
    <w:rsid w:val="0B8B64C8"/>
    <w:rsid w:val="0BB04180"/>
    <w:rsid w:val="0BEF2EFA"/>
    <w:rsid w:val="0C4C1587"/>
    <w:rsid w:val="0D074274"/>
    <w:rsid w:val="0E3E21BC"/>
    <w:rsid w:val="0EFF16A6"/>
    <w:rsid w:val="0F2F61D1"/>
    <w:rsid w:val="0F873B4A"/>
    <w:rsid w:val="117B6FDE"/>
    <w:rsid w:val="119C142F"/>
    <w:rsid w:val="11F12DFD"/>
    <w:rsid w:val="12394ECF"/>
    <w:rsid w:val="142E658A"/>
    <w:rsid w:val="14D709D0"/>
    <w:rsid w:val="1517701E"/>
    <w:rsid w:val="154A73F4"/>
    <w:rsid w:val="154F0566"/>
    <w:rsid w:val="157E2B48"/>
    <w:rsid w:val="15C560DF"/>
    <w:rsid w:val="161A72D3"/>
    <w:rsid w:val="1862744F"/>
    <w:rsid w:val="18B94C01"/>
    <w:rsid w:val="19B94B48"/>
    <w:rsid w:val="1B8B42C2"/>
    <w:rsid w:val="1CBC1A5B"/>
    <w:rsid w:val="1E3429EF"/>
    <w:rsid w:val="1E65704C"/>
    <w:rsid w:val="1EEB532C"/>
    <w:rsid w:val="1F8E39C0"/>
    <w:rsid w:val="20E379AE"/>
    <w:rsid w:val="22235254"/>
    <w:rsid w:val="226A7D59"/>
    <w:rsid w:val="2294458B"/>
    <w:rsid w:val="23C6233B"/>
    <w:rsid w:val="25322D79"/>
    <w:rsid w:val="25B763DF"/>
    <w:rsid w:val="265754CC"/>
    <w:rsid w:val="2B057BED"/>
    <w:rsid w:val="2B7C2CD2"/>
    <w:rsid w:val="2BC970D3"/>
    <w:rsid w:val="2C520C10"/>
    <w:rsid w:val="2D682829"/>
    <w:rsid w:val="2D9B2143"/>
    <w:rsid w:val="2FAC6889"/>
    <w:rsid w:val="3538471B"/>
    <w:rsid w:val="35984814"/>
    <w:rsid w:val="362A056A"/>
    <w:rsid w:val="3645426A"/>
    <w:rsid w:val="369A6E63"/>
    <w:rsid w:val="36E0506A"/>
    <w:rsid w:val="37165CDA"/>
    <w:rsid w:val="374970B3"/>
    <w:rsid w:val="37F3134E"/>
    <w:rsid w:val="380A2A7F"/>
    <w:rsid w:val="3A257964"/>
    <w:rsid w:val="3B4262F3"/>
    <w:rsid w:val="3B706DAD"/>
    <w:rsid w:val="3C9A5CBB"/>
    <w:rsid w:val="3DF86164"/>
    <w:rsid w:val="3E1026D9"/>
    <w:rsid w:val="3EE85404"/>
    <w:rsid w:val="3EF43DA9"/>
    <w:rsid w:val="403117FC"/>
    <w:rsid w:val="40BA4B7E"/>
    <w:rsid w:val="40F24318"/>
    <w:rsid w:val="423F3D05"/>
    <w:rsid w:val="461807D7"/>
    <w:rsid w:val="47D27481"/>
    <w:rsid w:val="484566FC"/>
    <w:rsid w:val="496D6C31"/>
    <w:rsid w:val="499D1122"/>
    <w:rsid w:val="4C7D7030"/>
    <w:rsid w:val="4DDF22D6"/>
    <w:rsid w:val="4E4A5793"/>
    <w:rsid w:val="4E8F31A6"/>
    <w:rsid w:val="51B82F75"/>
    <w:rsid w:val="527C6137"/>
    <w:rsid w:val="52A631B4"/>
    <w:rsid w:val="52A70E5A"/>
    <w:rsid w:val="54C95E1B"/>
    <w:rsid w:val="555B0286"/>
    <w:rsid w:val="557E3F74"/>
    <w:rsid w:val="56C34335"/>
    <w:rsid w:val="580453A7"/>
    <w:rsid w:val="58801DB1"/>
    <w:rsid w:val="58896EB8"/>
    <w:rsid w:val="5AFA5E4B"/>
    <w:rsid w:val="5B9444F1"/>
    <w:rsid w:val="5BD90156"/>
    <w:rsid w:val="5CE82AF2"/>
    <w:rsid w:val="60C2114E"/>
    <w:rsid w:val="60E76E71"/>
    <w:rsid w:val="616F76CB"/>
    <w:rsid w:val="61E33ADD"/>
    <w:rsid w:val="62481B92"/>
    <w:rsid w:val="63C811DC"/>
    <w:rsid w:val="647F61BA"/>
    <w:rsid w:val="64964E36"/>
    <w:rsid w:val="65BC6B1F"/>
    <w:rsid w:val="66CB20A8"/>
    <w:rsid w:val="68CB6333"/>
    <w:rsid w:val="68F640F6"/>
    <w:rsid w:val="6AD40467"/>
    <w:rsid w:val="6B653436"/>
    <w:rsid w:val="6BF879A1"/>
    <w:rsid w:val="6C476496"/>
    <w:rsid w:val="6CD23CBE"/>
    <w:rsid w:val="6E11552E"/>
    <w:rsid w:val="6EA75397"/>
    <w:rsid w:val="6EE3511C"/>
    <w:rsid w:val="6F97458C"/>
    <w:rsid w:val="70E34453"/>
    <w:rsid w:val="717E737E"/>
    <w:rsid w:val="71F80EDE"/>
    <w:rsid w:val="74F900F2"/>
    <w:rsid w:val="76C946E6"/>
    <w:rsid w:val="76EF00B9"/>
    <w:rsid w:val="76FA74A7"/>
    <w:rsid w:val="773D55E5"/>
    <w:rsid w:val="7A3C667E"/>
    <w:rsid w:val="7AE451AC"/>
    <w:rsid w:val="7B000E04"/>
    <w:rsid w:val="7D011607"/>
    <w:rsid w:val="7DB303AF"/>
    <w:rsid w:val="7DE467BB"/>
    <w:rsid w:val="7DF6029C"/>
    <w:rsid w:val="7EF722B8"/>
    <w:rsid w:val="7F0A7E9B"/>
    <w:rsid w:val="7F460903"/>
    <w:rsid w:val="7F46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756" w:firstLineChars="270"/>
      <w:jc w:val="both"/>
    </w:pPr>
    <w:rPr>
      <w:rFonts w:ascii="宋体" w:hAnsi="宋体" w:eastAsia="宋体" w:cs="Arial"/>
      <w:kern w:val="2"/>
      <w:sz w:val="28"/>
      <w:szCs w:val="28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30"/>
    <w:qFormat/>
    <w:uiPriority w:val="9"/>
    <w:pPr>
      <w:keepNext/>
      <w:keepLines/>
      <w:spacing w:before="480" w:after="80"/>
      <w:ind w:firstLine="0" w:firstLineChars="0"/>
      <w:outlineLvl w:val="0"/>
    </w:pPr>
    <w:rPr>
      <w:rFonts w:asciiTheme="majorHAnsi" w:hAnsiTheme="majorHAnsi" w:cstheme="majorBidi"/>
      <w:b/>
      <w:bCs/>
      <w:color w:val="000000" w:themeColor="text1"/>
      <w:sz w:val="32"/>
      <w:szCs w:val="48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60" w:after="80"/>
      <w:outlineLvl w:val="1"/>
    </w:pPr>
    <w:rPr>
      <w:rFonts w:eastAsia="仿宋" w:asciiTheme="majorAscii" w:hAnsiTheme="majorAscii" w:cstheme="majorBidi"/>
      <w:b/>
      <w:color w:val="000000" w:themeColor="text1"/>
      <w:sz w:val="28"/>
      <w:szCs w:val="40"/>
      <w14:textFill>
        <w14:solidFill>
          <w14:schemeClr w14:val="tx1"/>
        </w14:solidFill>
      </w14:textFill>
      <w14:ligatures w14:val="standardContextual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0"/>
    <w:pPr>
      <w:ind w:firstLine="200" w:firstLineChars="200"/>
    </w:pPr>
  </w:style>
  <w:style w:type="paragraph" w:styleId="5">
    <w:name w:val="annotation text"/>
    <w:basedOn w:val="1"/>
    <w:qFormat/>
    <w:uiPriority w:val="0"/>
  </w:style>
  <w:style w:type="paragraph" w:styleId="6">
    <w:name w:val="Body Text"/>
    <w:basedOn w:val="1"/>
    <w:next w:val="7"/>
    <w:unhideWhenUsed/>
    <w:qFormat/>
    <w:uiPriority w:val="99"/>
    <w:pPr>
      <w:spacing w:after="120"/>
    </w:pPr>
  </w:style>
  <w:style w:type="paragraph" w:styleId="7">
    <w:name w:val="Body Text First Indent"/>
    <w:basedOn w:val="6"/>
    <w:next w:val="8"/>
    <w:unhideWhenUsed/>
    <w:qFormat/>
    <w:uiPriority w:val="99"/>
    <w:pPr>
      <w:ind w:firstLine="420" w:firstLineChars="100"/>
    </w:pPr>
  </w:style>
  <w:style w:type="paragraph" w:customStyle="1" w:styleId="8">
    <w:name w:val="样式 正文首行缩进 + 首行缩进:  2 字符1 Char Char"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4">
    <w:name w:val="annotation reference"/>
    <w:basedOn w:val="13"/>
    <w:qFormat/>
    <w:uiPriority w:val="99"/>
    <w:rPr>
      <w:sz w:val="21"/>
      <w:szCs w:val="21"/>
    </w:rPr>
  </w:style>
  <w:style w:type="character" w:customStyle="1" w:styleId="15">
    <w:name w:val="font131"/>
    <w:basedOn w:val="13"/>
    <w:qFormat/>
    <w:uiPriority w:val="0"/>
    <w:rPr>
      <w:rFonts w:ascii="宋体" w:hAnsi="宋体" w:eastAsia="宋体" w:cs="宋体"/>
      <w:color w:val="000000"/>
      <w:sz w:val="12"/>
      <w:szCs w:val="12"/>
      <w:u w:val="none"/>
    </w:rPr>
  </w:style>
  <w:style w:type="character" w:customStyle="1" w:styleId="16">
    <w:name w:val="font161"/>
    <w:basedOn w:val="13"/>
    <w:qFormat/>
    <w:uiPriority w:val="0"/>
    <w:rPr>
      <w:rFonts w:ascii="宋体" w:hAnsi="宋体" w:eastAsia="宋体" w:cs="宋体"/>
      <w:color w:val="103080"/>
      <w:sz w:val="12"/>
      <w:szCs w:val="12"/>
      <w:u w:val="none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</w:style>
  <w:style w:type="paragraph" w:customStyle="1" w:styleId="18">
    <w:name w:val="标题 11"/>
    <w:qFormat/>
    <w:uiPriority w:val="0"/>
    <w:pPr>
      <w:keepNext/>
      <w:numPr>
        <w:ilvl w:val="0"/>
        <w:numId w:val="1"/>
      </w:numPr>
      <w:snapToGrid w:val="0"/>
      <w:outlineLvl w:val="0"/>
    </w:pPr>
    <w:rPr>
      <w:rFonts w:ascii="Cambria" w:hAnsi="Cambria" w:eastAsia="微软雅黑" w:cs="Times New Roman"/>
      <w:b/>
      <w:bCs/>
      <w:kern w:val="32"/>
      <w:sz w:val="21"/>
      <w:szCs w:val="32"/>
      <w:lang w:val="en-US" w:eastAsia="zh-CN" w:bidi="ar-SA"/>
    </w:rPr>
  </w:style>
  <w:style w:type="paragraph" w:customStyle="1" w:styleId="19">
    <w:name w:val="标题 21"/>
    <w:qFormat/>
    <w:uiPriority w:val="0"/>
    <w:pPr>
      <w:numPr>
        <w:ilvl w:val="1"/>
        <w:numId w:val="1"/>
      </w:numPr>
      <w:snapToGrid w:val="0"/>
      <w:outlineLvl w:val="1"/>
    </w:pPr>
    <w:rPr>
      <w:rFonts w:ascii="微软雅黑" w:hAnsi="微软雅黑" w:eastAsia="微软雅黑" w:cs="Times New Roman"/>
      <w:b/>
      <w:bCs/>
      <w:kern w:val="2"/>
      <w:sz w:val="21"/>
      <w:szCs w:val="32"/>
      <w:lang w:val="en-US" w:eastAsia="zh-CN" w:bidi="ar-SA"/>
    </w:rPr>
  </w:style>
  <w:style w:type="paragraph" w:customStyle="1" w:styleId="20">
    <w:name w:val="标题 31"/>
    <w:qFormat/>
    <w:uiPriority w:val="0"/>
    <w:pPr>
      <w:numPr>
        <w:ilvl w:val="2"/>
        <w:numId w:val="1"/>
      </w:numPr>
      <w:snapToGrid w:val="0"/>
      <w:ind w:left="567"/>
      <w:outlineLvl w:val="2"/>
    </w:pPr>
    <w:rPr>
      <w:rFonts w:ascii="微软雅黑" w:hAnsi="微软雅黑" w:eastAsia="微软雅黑" w:cs="Times New Roman"/>
      <w:bCs/>
      <w:kern w:val="2"/>
      <w:sz w:val="21"/>
      <w:szCs w:val="32"/>
      <w:lang w:val="en-US" w:eastAsia="zh-CN" w:bidi="ar-SA"/>
    </w:rPr>
  </w:style>
  <w:style w:type="character" w:customStyle="1" w:styleId="21">
    <w:name w:val="NormalCharacter"/>
    <w:qFormat/>
    <w:uiPriority w:val="0"/>
  </w:style>
  <w:style w:type="paragraph" w:customStyle="1" w:styleId="22">
    <w:name w:val="页眉1"/>
    <w:basedOn w:val="1"/>
    <w:qFormat/>
    <w:uiPriority w:val="0"/>
    <w:pPr>
      <w:tabs>
        <w:tab w:val="center" w:pos="4320"/>
        <w:tab w:val="right" w:pos="8640"/>
      </w:tabs>
    </w:pPr>
  </w:style>
  <w:style w:type="paragraph" w:customStyle="1" w:styleId="23">
    <w:name w:val="页脚1"/>
    <w:basedOn w:val="1"/>
    <w:qFormat/>
    <w:uiPriority w:val="0"/>
    <w:pPr>
      <w:tabs>
        <w:tab w:val="center" w:pos="4320"/>
        <w:tab w:val="right" w:pos="8640"/>
      </w:tabs>
    </w:pPr>
  </w:style>
  <w:style w:type="paragraph" w:styleId="24">
    <w:name w:val="List Paragraph"/>
    <w:basedOn w:val="1"/>
    <w:qFormat/>
    <w:uiPriority w:val="99"/>
    <w:pPr>
      <w:ind w:firstLine="420" w:firstLineChars="200"/>
    </w:pPr>
  </w:style>
  <w:style w:type="character" w:customStyle="1" w:styleId="25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6">
    <w:name w:val="font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7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  <w:szCs w:val="24"/>
    </w:rPr>
  </w:style>
  <w:style w:type="paragraph" w:customStyle="1" w:styleId="28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29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CN" w:bidi="ar-SA"/>
    </w:rPr>
  </w:style>
  <w:style w:type="character" w:customStyle="1" w:styleId="30">
    <w:name w:val="标题 1 Char"/>
    <w:link w:val="2"/>
    <w:qFormat/>
    <w:uiPriority w:val="0"/>
    <w:rPr>
      <w:rFonts w:asciiTheme="majorHAnsi" w:hAnsiTheme="majorHAnsi" w:cstheme="majorBidi"/>
      <w:b/>
      <w:bCs/>
      <w:color w:val="000000" w:themeColor="text1"/>
      <w:sz w:val="32"/>
      <w:szCs w:val="4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668</Words>
  <Characters>695</Characters>
  <Lines>0</Lines>
  <Paragraphs>0</Paragraphs>
  <TotalTime>0</TotalTime>
  <ScaleCrop>false</ScaleCrop>
  <LinksUpToDate>false</LinksUpToDate>
  <CharactersWithSpaces>695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2026-06-25T06:51:00Z</dcterms:created>
  <dc:creator>智赢标定</dc:creator>
  <cp:lastModifiedBy>茉莉</cp:lastModifiedBy>
  <dcterms:modified xsi:type="dcterms:W3CDTF">2026-07-31T05:44:36Z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1A887A6746C64E988C91B7F9BA6B305D_11</vt:lpwstr>
  </property>
  <property fmtid="{D5CDD505-2E9C-101B-9397-08002B2CF9AE}" pid="4" name="KSOTemplateDocerSaveRecord">
    <vt:lpwstr>eyJoZGlkIjoiOGM1NDkwYzI3MWNkOTIyZjAzZTM5ZmQ5YzRkNGI4ZjMiLCJ1c2VySWQiOiI0NDcwODI4MzcifQ==</vt:lpwstr>
  </property>
</Properties>
</file>