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D7C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大邑县人民医院</w:t>
      </w:r>
    </w:p>
    <w:p w14:paraId="638C602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矿泉水采购项目（三次）比选</w:t>
      </w:r>
      <w:r>
        <w:rPr>
          <w:rFonts w:hint="eastAsia" w:ascii="宋体" w:hAnsi="宋体" w:eastAsia="宋体" w:cs="宋体"/>
          <w:b/>
          <w:bCs/>
          <w:sz w:val="36"/>
          <w:szCs w:val="36"/>
          <w:vertAlign w:val="baseline"/>
          <w:lang w:eastAsia="zh-CN"/>
        </w:rPr>
        <w:t>文件</w:t>
      </w:r>
    </w:p>
    <w:p w14:paraId="0F3F81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4389F4B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sz w:val="24"/>
          <w:szCs w:val="24"/>
          <w:u w:val="single"/>
          <w:lang w:val="en-US" w:eastAsia="zh-CN"/>
        </w:rPr>
        <w:t>矿泉水采购项目（三</w:t>
      </w:r>
      <w:bookmarkStart w:id="2" w:name="_GoBack"/>
      <w:bookmarkEnd w:id="2"/>
      <w:r>
        <w:rPr>
          <w:rFonts w:hint="eastAsia" w:ascii="宋体" w:hAnsi="宋体" w:eastAsia="宋体" w:cs="宋体"/>
          <w:sz w:val="24"/>
          <w:szCs w:val="24"/>
          <w:u w:val="single"/>
          <w:lang w:val="en-US" w:eastAsia="zh-CN"/>
        </w:rPr>
        <w:t>次）</w:t>
      </w:r>
    </w:p>
    <w:p w14:paraId="351AD62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bCs/>
          <w:sz w:val="24"/>
          <w:szCs w:val="24"/>
          <w:lang w:val="en-US" w:eastAsia="zh-CN"/>
        </w:rPr>
        <w:t>二、项目预算：</w:t>
      </w:r>
      <w:r>
        <w:rPr>
          <w:rFonts w:hint="eastAsia" w:ascii="宋体" w:hAnsi="宋体" w:eastAsia="宋体" w:cs="宋体"/>
          <w:sz w:val="24"/>
          <w:szCs w:val="24"/>
          <w:u w:val="single"/>
          <w:lang w:val="en-US" w:eastAsia="zh-CN"/>
        </w:rPr>
        <w:t>4万元，最高单价限价汇总为36.29元。（根据单价据实结算）</w:t>
      </w:r>
    </w:p>
    <w:p w14:paraId="48554D03">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9035" w:type="dxa"/>
        <w:tblInd w:w="-244" w:type="dxa"/>
        <w:tblLayout w:type="fixed"/>
        <w:tblCellMar>
          <w:top w:w="0" w:type="dxa"/>
          <w:left w:w="108" w:type="dxa"/>
          <w:bottom w:w="0" w:type="dxa"/>
          <w:right w:w="108" w:type="dxa"/>
        </w:tblCellMar>
      </w:tblPr>
      <w:tblGrid>
        <w:gridCol w:w="1335"/>
        <w:gridCol w:w="1155"/>
        <w:gridCol w:w="1365"/>
        <w:gridCol w:w="1265"/>
        <w:gridCol w:w="1755"/>
        <w:gridCol w:w="2160"/>
      </w:tblGrid>
      <w:tr w14:paraId="023BC8AE">
        <w:tblPrEx>
          <w:tblCellMar>
            <w:top w:w="0" w:type="dxa"/>
            <w:left w:w="108" w:type="dxa"/>
            <w:bottom w:w="0" w:type="dxa"/>
            <w:right w:w="108" w:type="dxa"/>
          </w:tblCellMar>
        </w:tblPrEx>
        <w:trPr>
          <w:trHeight w:val="985"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4AF3D98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7AA6A5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59BD509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B077E9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3315C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A521B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1940DC3D">
        <w:tblPrEx>
          <w:tblCellMar>
            <w:top w:w="0" w:type="dxa"/>
            <w:left w:w="108" w:type="dxa"/>
            <w:bottom w:w="0" w:type="dxa"/>
            <w:right w:w="108" w:type="dxa"/>
          </w:tblCellMar>
        </w:tblPrEx>
        <w:trPr>
          <w:trHeight w:val="624" w:hRule="atLeast"/>
        </w:trPr>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6DDA1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矿泉水</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6E45497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EFC03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360ml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0275B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7ADC956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1.39 </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02C27F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bookmarkStart w:id="0" w:name="OLE_LINK1"/>
            <w:r>
              <w:rPr>
                <w:rFonts w:hint="eastAsia" w:ascii="宋体" w:hAnsi="宋体" w:eastAsia="宋体" w:cs="宋体"/>
                <w:sz w:val="24"/>
                <w:szCs w:val="24"/>
                <w:vertAlign w:val="baseline"/>
                <w:lang w:val="en-US" w:eastAsia="zh-CN"/>
              </w:rPr>
              <w:t>根据采购人的需求定制logo</w:t>
            </w:r>
            <w:bookmarkEnd w:id="0"/>
          </w:p>
        </w:tc>
      </w:tr>
      <w:tr w14:paraId="015C7E3E">
        <w:tblPrEx>
          <w:tblCellMar>
            <w:top w:w="0" w:type="dxa"/>
            <w:left w:w="108" w:type="dxa"/>
            <w:bottom w:w="0" w:type="dxa"/>
            <w:right w:w="108" w:type="dxa"/>
          </w:tblCellMar>
        </w:tblPrEx>
        <w:trPr>
          <w:trHeight w:val="624"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27EFB3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66438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72B09E9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550ml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3AECE6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087EB8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1.40</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1268FA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7CAF958E">
        <w:tblPrEx>
          <w:tblCellMar>
            <w:top w:w="0" w:type="dxa"/>
            <w:left w:w="108" w:type="dxa"/>
            <w:bottom w:w="0" w:type="dxa"/>
            <w:right w:w="108" w:type="dxa"/>
          </w:tblCellMar>
        </w:tblPrEx>
        <w:trPr>
          <w:trHeight w:val="71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371BA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D68558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3C86D3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16.8L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609D9B0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498751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22.8</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78CCFF2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45601A65">
        <w:tblPrEx>
          <w:tblCellMar>
            <w:top w:w="0" w:type="dxa"/>
            <w:left w:w="108" w:type="dxa"/>
            <w:bottom w:w="0" w:type="dxa"/>
            <w:right w:w="108" w:type="dxa"/>
          </w:tblCellMar>
        </w:tblPrEx>
        <w:trPr>
          <w:trHeight w:val="68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132AC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307D83C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0E42F4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6L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0A82D30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FAE06E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10.7</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67E4364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2F2D3DD3">
        <w:tblPrEx>
          <w:tblCellMar>
            <w:top w:w="0" w:type="dxa"/>
            <w:left w:w="108" w:type="dxa"/>
            <w:bottom w:w="0" w:type="dxa"/>
            <w:right w:w="108" w:type="dxa"/>
          </w:tblCellMar>
        </w:tblPrEx>
        <w:trPr>
          <w:trHeight w:val="567"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661D36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单价限价汇总</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1BBF2D3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365" w:type="dxa"/>
            <w:tcBorders>
              <w:top w:val="single" w:color="auto" w:sz="4" w:space="0"/>
              <w:left w:val="nil"/>
              <w:bottom w:val="single" w:color="auto" w:sz="4" w:space="0"/>
              <w:right w:val="single" w:color="auto" w:sz="4" w:space="0"/>
            </w:tcBorders>
            <w:shd w:val="clear" w:color="000000" w:fill="FFFFFF"/>
            <w:vAlign w:val="center"/>
          </w:tcPr>
          <w:p w14:paraId="3F1F1E4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0BEE2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755" w:type="dxa"/>
            <w:tcBorders>
              <w:top w:val="single" w:color="auto" w:sz="4" w:space="0"/>
              <w:left w:val="nil"/>
              <w:bottom w:val="single" w:color="auto" w:sz="4" w:space="0"/>
              <w:right w:val="single" w:color="auto" w:sz="4" w:space="0"/>
            </w:tcBorders>
            <w:shd w:val="clear" w:color="000000" w:fill="FFFFFF"/>
            <w:vAlign w:val="center"/>
          </w:tcPr>
          <w:p w14:paraId="3CD70AF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fldChar w:fldCharType="begin"/>
            </w:r>
            <w:r>
              <w:rPr>
                <w:rFonts w:hint="eastAsia" w:ascii="宋体" w:hAnsi="宋体" w:eastAsia="宋体" w:cs="宋体"/>
                <w:b w:val="0"/>
                <w:bCs w:val="0"/>
                <w:sz w:val="24"/>
                <w:szCs w:val="24"/>
                <w:vertAlign w:val="baseline"/>
                <w:lang w:val="en-US" w:eastAsia="zh-CN"/>
              </w:rPr>
              <w:instrText xml:space="preserve"> = sum(E2:E5) \* MERGEFORMAT </w:instrText>
            </w:r>
            <w:r>
              <w:rPr>
                <w:rFonts w:hint="eastAsia" w:ascii="宋体" w:hAnsi="宋体" w:eastAsia="宋体" w:cs="宋体"/>
                <w:b w:val="0"/>
                <w:bCs w:val="0"/>
                <w:sz w:val="24"/>
                <w:szCs w:val="24"/>
                <w:vertAlign w:val="baseline"/>
                <w:lang w:val="en-US" w:eastAsia="zh-CN"/>
              </w:rPr>
              <w:fldChar w:fldCharType="separate"/>
            </w:r>
            <w:r>
              <w:rPr>
                <w:rFonts w:hint="eastAsia" w:ascii="宋体" w:hAnsi="宋体" w:eastAsia="宋体" w:cs="宋体"/>
                <w:b w:val="0"/>
                <w:bCs w:val="0"/>
                <w:sz w:val="24"/>
                <w:szCs w:val="24"/>
                <w:vertAlign w:val="baseline"/>
                <w:lang w:val="en-US" w:eastAsia="zh-CN"/>
              </w:rPr>
              <w:t>36.29</w:t>
            </w:r>
            <w:r>
              <w:rPr>
                <w:rFonts w:hint="eastAsia" w:ascii="宋体" w:hAnsi="宋体" w:eastAsia="宋体" w:cs="宋体"/>
                <w:b w:val="0"/>
                <w:bCs w:val="0"/>
                <w:sz w:val="24"/>
                <w:szCs w:val="24"/>
                <w:vertAlign w:val="baseline"/>
                <w:lang w:val="en-US" w:eastAsia="zh-CN"/>
              </w:rPr>
              <w:fldChar w:fldCharType="end"/>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89B1E8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bl>
    <w:p w14:paraId="054374B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lang w:val="en-US" w:eastAsia="zh-CN"/>
        </w:rPr>
      </w:pPr>
    </w:p>
    <w:p w14:paraId="4CDAE94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sz w:val="24"/>
          <w:lang w:val="en-US" w:eastAsia="zh-CN"/>
        </w:rPr>
      </w:pPr>
      <w:r>
        <w:rPr>
          <w:rFonts w:ascii="宋体" w:hAnsi="宋体" w:eastAsia="宋体" w:cs="黑体"/>
          <w:color w:val="000000"/>
          <w:kern w:val="0"/>
          <w:sz w:val="21"/>
          <w:szCs w:val="21"/>
        </w:rPr>
        <w:t>▲</w:t>
      </w:r>
      <w:r>
        <w:rPr>
          <w:rFonts w:hint="eastAsia" w:ascii="宋体" w:hAnsi="宋体" w:eastAsia="宋体" w:cs="宋体"/>
          <w:b/>
          <w:sz w:val="24"/>
          <w:lang w:val="en-US" w:eastAsia="zh-CN"/>
        </w:rPr>
        <w:t>四、技术要求</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010"/>
        <w:gridCol w:w="2595"/>
        <w:gridCol w:w="3432"/>
      </w:tblGrid>
      <w:tr w14:paraId="10E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vAlign w:val="center"/>
          </w:tcPr>
          <w:p w14:paraId="7CA638F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10" w:type="dxa"/>
            <w:vAlign w:val="center"/>
          </w:tcPr>
          <w:p w14:paraId="77718F9F">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成分</w:t>
            </w:r>
          </w:p>
        </w:tc>
        <w:tc>
          <w:tcPr>
            <w:tcW w:w="2595" w:type="dxa"/>
            <w:vAlign w:val="center"/>
          </w:tcPr>
          <w:p w14:paraId="1521450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3432" w:type="dxa"/>
            <w:vAlign w:val="center"/>
          </w:tcPr>
          <w:p w14:paraId="46A9EC4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6397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BA28F4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010" w:type="dxa"/>
            <w:vAlign w:val="center"/>
          </w:tcPr>
          <w:p w14:paraId="2817147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色度</w:t>
            </w:r>
          </w:p>
        </w:tc>
        <w:tc>
          <w:tcPr>
            <w:tcW w:w="2595" w:type="dxa"/>
            <w:vAlign w:val="center"/>
          </w:tcPr>
          <w:p w14:paraId="4BAC3B2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度</w:t>
            </w:r>
          </w:p>
        </w:tc>
        <w:tc>
          <w:tcPr>
            <w:tcW w:w="3432" w:type="dxa"/>
            <w:vAlign w:val="center"/>
          </w:tcPr>
          <w:p w14:paraId="7A55102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≤10，并不得呈现其他异色</w:t>
            </w:r>
          </w:p>
        </w:tc>
      </w:tr>
      <w:tr w14:paraId="2848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65CC43B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010" w:type="dxa"/>
            <w:vAlign w:val="center"/>
          </w:tcPr>
          <w:p w14:paraId="72921E1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浑浊度</w:t>
            </w:r>
          </w:p>
        </w:tc>
        <w:tc>
          <w:tcPr>
            <w:tcW w:w="2595" w:type="dxa"/>
            <w:vAlign w:val="center"/>
          </w:tcPr>
          <w:p w14:paraId="5E562A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NTU</w:t>
            </w:r>
          </w:p>
        </w:tc>
        <w:tc>
          <w:tcPr>
            <w:tcW w:w="3432" w:type="dxa"/>
            <w:vAlign w:val="center"/>
          </w:tcPr>
          <w:p w14:paraId="2557D7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r>
      <w:tr w14:paraId="794D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41AB32E">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010" w:type="dxa"/>
            <w:vAlign w:val="center"/>
          </w:tcPr>
          <w:p w14:paraId="41CFA96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嗅和味</w:t>
            </w:r>
          </w:p>
        </w:tc>
        <w:tc>
          <w:tcPr>
            <w:tcW w:w="2595" w:type="dxa"/>
            <w:vAlign w:val="center"/>
          </w:tcPr>
          <w:p w14:paraId="315C64B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31A402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不得有异臭、异味</w:t>
            </w:r>
          </w:p>
        </w:tc>
      </w:tr>
      <w:tr w14:paraId="205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5F02A27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010" w:type="dxa"/>
            <w:vAlign w:val="center"/>
          </w:tcPr>
          <w:p w14:paraId="369D42E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肉眼可见物</w:t>
            </w:r>
          </w:p>
        </w:tc>
        <w:tc>
          <w:tcPr>
            <w:tcW w:w="2595" w:type="dxa"/>
            <w:vAlign w:val="center"/>
          </w:tcPr>
          <w:p w14:paraId="5BDEC95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213443B1">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不得检出</w:t>
            </w:r>
          </w:p>
        </w:tc>
      </w:tr>
      <w:tr w14:paraId="1B92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EAA409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2010" w:type="dxa"/>
            <w:shd w:val="clear" w:color="auto" w:fill="auto"/>
            <w:vAlign w:val="center"/>
          </w:tcPr>
          <w:p w14:paraId="05C854CD">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钾</w:t>
            </w:r>
          </w:p>
        </w:tc>
        <w:tc>
          <w:tcPr>
            <w:tcW w:w="2595" w:type="dxa"/>
            <w:shd w:val="clear" w:color="auto" w:fill="auto"/>
            <w:vAlign w:val="center"/>
          </w:tcPr>
          <w:p w14:paraId="007DEA17">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15150F70">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≥0.1</w:t>
            </w:r>
          </w:p>
        </w:tc>
      </w:tr>
      <w:tr w14:paraId="2FF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F278DC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2010" w:type="dxa"/>
            <w:shd w:val="clear" w:color="auto" w:fill="auto"/>
            <w:vAlign w:val="center"/>
          </w:tcPr>
          <w:p w14:paraId="68C5A01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钠</w:t>
            </w:r>
          </w:p>
        </w:tc>
        <w:tc>
          <w:tcPr>
            <w:tcW w:w="2595" w:type="dxa"/>
            <w:shd w:val="clear" w:color="auto" w:fill="auto"/>
            <w:vAlign w:val="center"/>
          </w:tcPr>
          <w:p w14:paraId="3DDD7D3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55D487C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≥0.1</w:t>
            </w:r>
          </w:p>
        </w:tc>
      </w:tr>
      <w:tr w14:paraId="184F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01A560E3">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010" w:type="dxa"/>
            <w:shd w:val="clear" w:color="auto" w:fill="auto"/>
            <w:vAlign w:val="center"/>
          </w:tcPr>
          <w:p w14:paraId="15C0649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钙</w:t>
            </w:r>
          </w:p>
        </w:tc>
        <w:tc>
          <w:tcPr>
            <w:tcW w:w="2595" w:type="dxa"/>
            <w:shd w:val="clear" w:color="auto" w:fill="auto"/>
            <w:vAlign w:val="center"/>
          </w:tcPr>
          <w:p w14:paraId="58937D8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7328A2B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≥4.0</w:t>
            </w:r>
          </w:p>
        </w:tc>
      </w:tr>
      <w:tr w14:paraId="37F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5F4A9B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010" w:type="dxa"/>
            <w:shd w:val="clear" w:color="auto" w:fill="auto"/>
            <w:vAlign w:val="center"/>
          </w:tcPr>
          <w:p w14:paraId="2D3AFB4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镁</w:t>
            </w:r>
          </w:p>
        </w:tc>
        <w:tc>
          <w:tcPr>
            <w:tcW w:w="2595" w:type="dxa"/>
            <w:shd w:val="clear" w:color="auto" w:fill="auto"/>
            <w:vAlign w:val="center"/>
          </w:tcPr>
          <w:p w14:paraId="7AF031A0">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B1C7AE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≥0.5</w:t>
            </w:r>
          </w:p>
        </w:tc>
      </w:tr>
      <w:tr w14:paraId="292B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60E82F4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010" w:type="dxa"/>
            <w:shd w:val="clear" w:color="auto" w:fill="auto"/>
            <w:vAlign w:val="center"/>
          </w:tcPr>
          <w:p w14:paraId="10174EB4">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锶</w:t>
            </w:r>
          </w:p>
        </w:tc>
        <w:tc>
          <w:tcPr>
            <w:tcW w:w="2595" w:type="dxa"/>
            <w:shd w:val="clear" w:color="auto" w:fill="auto"/>
            <w:vAlign w:val="center"/>
          </w:tcPr>
          <w:p w14:paraId="04CCB11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1274D81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≥0.2</w:t>
            </w:r>
          </w:p>
        </w:tc>
      </w:tr>
      <w:tr w14:paraId="4F1A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FACBD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010" w:type="dxa"/>
            <w:shd w:val="clear" w:color="auto" w:fill="auto"/>
            <w:vAlign w:val="center"/>
          </w:tcPr>
          <w:p w14:paraId="7E495F51">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偏硅酸</w:t>
            </w:r>
          </w:p>
        </w:tc>
        <w:tc>
          <w:tcPr>
            <w:tcW w:w="2595" w:type="dxa"/>
            <w:shd w:val="clear" w:color="auto" w:fill="auto"/>
            <w:vAlign w:val="center"/>
          </w:tcPr>
          <w:p w14:paraId="2642A450">
            <w:pPr>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59CFA95C">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≥2.0</w:t>
            </w:r>
          </w:p>
        </w:tc>
      </w:tr>
      <w:tr w14:paraId="0A9C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3D854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010" w:type="dxa"/>
            <w:shd w:val="clear" w:color="auto" w:fill="auto"/>
            <w:vAlign w:val="center"/>
          </w:tcPr>
          <w:p w14:paraId="488BD2F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亚硝酸盐（NO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2C1CA73A">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B5B5804">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≤0.005</w:t>
            </w:r>
          </w:p>
        </w:tc>
      </w:tr>
      <w:tr w14:paraId="176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2A1FD4D">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010" w:type="dxa"/>
            <w:shd w:val="clear" w:color="auto" w:fill="auto"/>
            <w:vAlign w:val="center"/>
          </w:tcPr>
          <w:p w14:paraId="36458540">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耗氧量（以O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4D7B30F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DFA4D3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≤2.0</w:t>
            </w:r>
          </w:p>
        </w:tc>
      </w:tr>
      <w:tr w14:paraId="701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F31B87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010" w:type="dxa"/>
            <w:shd w:val="clear" w:color="auto" w:fill="auto"/>
            <w:vAlign w:val="center"/>
          </w:tcPr>
          <w:p w14:paraId="6C9809C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总砷（以As计）</w:t>
            </w:r>
          </w:p>
        </w:tc>
        <w:tc>
          <w:tcPr>
            <w:tcW w:w="2595" w:type="dxa"/>
            <w:shd w:val="clear" w:color="auto" w:fill="auto"/>
            <w:vAlign w:val="center"/>
          </w:tcPr>
          <w:p w14:paraId="03220DA8">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404EB4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078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19A2C70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010" w:type="dxa"/>
            <w:shd w:val="clear" w:color="auto" w:fill="auto"/>
            <w:vAlign w:val="center"/>
          </w:tcPr>
          <w:p w14:paraId="14DA9D7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铅（以Pb计）</w:t>
            </w:r>
          </w:p>
        </w:tc>
        <w:tc>
          <w:tcPr>
            <w:tcW w:w="2595" w:type="dxa"/>
            <w:shd w:val="clear" w:color="auto" w:fill="auto"/>
            <w:vAlign w:val="center"/>
          </w:tcPr>
          <w:p w14:paraId="06FC1005">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925B7B2">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63FE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88A1EC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010" w:type="dxa"/>
            <w:shd w:val="clear" w:color="auto" w:fill="auto"/>
            <w:vAlign w:val="center"/>
          </w:tcPr>
          <w:p w14:paraId="3BEF33B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镉（以Cd计）</w:t>
            </w:r>
          </w:p>
        </w:tc>
        <w:tc>
          <w:tcPr>
            <w:tcW w:w="2595" w:type="dxa"/>
            <w:shd w:val="clear" w:color="auto" w:fill="auto"/>
            <w:vAlign w:val="center"/>
          </w:tcPr>
          <w:p w14:paraId="6419B1F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A279E6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≤0.004</w:t>
            </w:r>
          </w:p>
        </w:tc>
      </w:tr>
      <w:tr w14:paraId="2FEB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17073A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010" w:type="dxa"/>
            <w:shd w:val="clear" w:color="auto" w:fill="auto"/>
            <w:vAlign w:val="center"/>
          </w:tcPr>
          <w:p w14:paraId="098B04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铜（以Cu计）</w:t>
            </w:r>
          </w:p>
        </w:tc>
        <w:tc>
          <w:tcPr>
            <w:tcW w:w="2595" w:type="dxa"/>
            <w:vAlign w:val="center"/>
          </w:tcPr>
          <w:p w14:paraId="57848A04">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4FCF974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w:t>
            </w:r>
          </w:p>
        </w:tc>
      </w:tr>
      <w:tr w14:paraId="588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A91FF8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010" w:type="dxa"/>
            <w:shd w:val="clear" w:color="auto" w:fill="auto"/>
            <w:vAlign w:val="center"/>
          </w:tcPr>
          <w:p w14:paraId="2D4798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余氯（游离氯）</w:t>
            </w:r>
          </w:p>
        </w:tc>
        <w:tc>
          <w:tcPr>
            <w:tcW w:w="2595" w:type="dxa"/>
            <w:vAlign w:val="center"/>
          </w:tcPr>
          <w:p w14:paraId="710D33FE">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341F3F71">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≤0.05</w:t>
            </w:r>
          </w:p>
        </w:tc>
      </w:tr>
      <w:tr w14:paraId="6B6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A55B78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010" w:type="dxa"/>
            <w:vAlign w:val="center"/>
          </w:tcPr>
          <w:p w14:paraId="6ABC1F6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四氯化碳</w:t>
            </w:r>
          </w:p>
        </w:tc>
        <w:tc>
          <w:tcPr>
            <w:tcW w:w="2595" w:type="dxa"/>
            <w:vAlign w:val="center"/>
          </w:tcPr>
          <w:p w14:paraId="2ED1D7B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7D313CF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≤0.002</w:t>
            </w:r>
          </w:p>
        </w:tc>
      </w:tr>
      <w:tr w14:paraId="505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83814B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010" w:type="dxa"/>
            <w:vAlign w:val="center"/>
          </w:tcPr>
          <w:p w14:paraId="79CAA02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三氯甲烷</w:t>
            </w:r>
          </w:p>
        </w:tc>
        <w:tc>
          <w:tcPr>
            <w:tcW w:w="2595" w:type="dxa"/>
            <w:vAlign w:val="center"/>
          </w:tcPr>
          <w:p w14:paraId="2421B343">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5E4862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≤0.02</w:t>
            </w:r>
          </w:p>
        </w:tc>
      </w:tr>
      <w:tr w14:paraId="4D4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316624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010" w:type="dxa"/>
            <w:vAlign w:val="center"/>
          </w:tcPr>
          <w:p w14:paraId="6942F3C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溴酸盐</w:t>
            </w:r>
          </w:p>
        </w:tc>
        <w:tc>
          <w:tcPr>
            <w:tcW w:w="2595" w:type="dxa"/>
            <w:vAlign w:val="center"/>
          </w:tcPr>
          <w:p w14:paraId="55E5A4B7">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7255A67">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≤0.01</w:t>
            </w:r>
          </w:p>
        </w:tc>
      </w:tr>
      <w:tr w14:paraId="3005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1D2B61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010" w:type="dxa"/>
            <w:vAlign w:val="center"/>
          </w:tcPr>
          <w:p w14:paraId="3F714A63">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阴离子合成洗涤剂</w:t>
            </w:r>
          </w:p>
        </w:tc>
        <w:tc>
          <w:tcPr>
            <w:tcW w:w="2595" w:type="dxa"/>
            <w:vAlign w:val="center"/>
          </w:tcPr>
          <w:p w14:paraId="07A0E78F">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0240FE1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≤0.3</w:t>
            </w:r>
          </w:p>
        </w:tc>
      </w:tr>
      <w:tr w14:paraId="0AB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7C08386">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2010" w:type="dxa"/>
            <w:vAlign w:val="center"/>
          </w:tcPr>
          <w:p w14:paraId="348B12D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大肠菌群</w:t>
            </w:r>
          </w:p>
        </w:tc>
        <w:tc>
          <w:tcPr>
            <w:tcW w:w="2595" w:type="dxa"/>
            <w:vAlign w:val="center"/>
          </w:tcPr>
          <w:p w14:paraId="05F4EA1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CFU/mL</w:t>
            </w:r>
          </w:p>
        </w:tc>
        <w:tc>
          <w:tcPr>
            <w:tcW w:w="3432" w:type="dxa"/>
            <w:vAlign w:val="center"/>
          </w:tcPr>
          <w:p w14:paraId="1F872790">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084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29B133D">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2010" w:type="dxa"/>
            <w:vAlign w:val="center"/>
          </w:tcPr>
          <w:p w14:paraId="5B6E5C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铜绿假单胞菌</w:t>
            </w:r>
          </w:p>
        </w:tc>
        <w:tc>
          <w:tcPr>
            <w:tcW w:w="2595" w:type="dxa"/>
            <w:vAlign w:val="center"/>
          </w:tcPr>
          <w:p w14:paraId="67DD96F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CFU/250mL</w:t>
            </w:r>
          </w:p>
        </w:tc>
        <w:tc>
          <w:tcPr>
            <w:tcW w:w="3432" w:type="dxa"/>
            <w:vAlign w:val="center"/>
          </w:tcPr>
          <w:p w14:paraId="70F1216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46CA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158477F4">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2010" w:type="dxa"/>
            <w:vAlign w:val="center"/>
          </w:tcPr>
          <w:p w14:paraId="10D5CBF3">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标识要求</w:t>
            </w:r>
          </w:p>
        </w:tc>
        <w:tc>
          <w:tcPr>
            <w:tcW w:w="2595" w:type="dxa"/>
            <w:vAlign w:val="center"/>
          </w:tcPr>
          <w:p w14:paraId="7C9D200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0906BBCD">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瓶底须标注材质号“PET”或“1”（回收标识）</w:t>
            </w:r>
          </w:p>
        </w:tc>
      </w:tr>
      <w:tr w14:paraId="7AA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4A13B15C">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2010" w:type="dxa"/>
            <w:vAlign w:val="center"/>
          </w:tcPr>
          <w:p w14:paraId="3C75B68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瓶身材质</w:t>
            </w:r>
          </w:p>
        </w:tc>
        <w:tc>
          <w:tcPr>
            <w:tcW w:w="2595" w:type="dxa"/>
            <w:vAlign w:val="center"/>
          </w:tcPr>
          <w:p w14:paraId="637AC24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62A9FF0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食品接触用特定塑料（PET）容器</w:t>
            </w:r>
          </w:p>
        </w:tc>
      </w:tr>
    </w:tbl>
    <w:p w14:paraId="2557FE5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b/>
          <w:bCs/>
          <w:sz w:val="24"/>
          <w:lang w:val="en-US" w:eastAsia="zh-CN"/>
        </w:rPr>
      </w:pPr>
    </w:p>
    <w:p w14:paraId="5A73245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4F0BA98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658B984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6565E6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3B20C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442EE1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440873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043EAB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4A2AD9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448C04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14B6F8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20214A89">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6844256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08FFDEC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eastAsia="zh-CN"/>
        </w:rPr>
        <w:t>合同签订后根据</w:t>
      </w:r>
      <w:r>
        <w:rPr>
          <w:rFonts w:hint="eastAsia" w:ascii="宋体" w:hAnsi="宋体" w:eastAsia="宋体" w:cs="宋体"/>
          <w:bCs/>
          <w:sz w:val="24"/>
          <w:szCs w:val="22"/>
          <w:lang w:val="en-US" w:eastAsia="zh-CN"/>
        </w:rPr>
        <w:t>采购人每次通知的需求量</w:t>
      </w:r>
      <w:r>
        <w:rPr>
          <w:rFonts w:hint="eastAsia" w:ascii="宋体" w:hAnsi="宋体" w:eastAsia="宋体" w:cs="宋体"/>
          <w:bCs/>
          <w:sz w:val="24"/>
          <w:szCs w:val="22"/>
          <w:lang w:eastAsia="zh-CN"/>
        </w:rPr>
        <w:t>供货，</w:t>
      </w:r>
      <w:r>
        <w:rPr>
          <w:rFonts w:hint="default" w:ascii="宋体" w:hAnsi="宋体" w:eastAsia="宋体" w:cs="宋体"/>
          <w:bCs/>
          <w:sz w:val="24"/>
          <w:szCs w:val="22"/>
          <w:lang w:val="en-US" w:eastAsia="zh-Hans"/>
        </w:rPr>
        <w:t>货物运至</w:t>
      </w:r>
      <w:r>
        <w:rPr>
          <w:rFonts w:hint="eastAsia" w:ascii="宋体" w:hAnsi="宋体" w:eastAsia="宋体" w:cs="宋体"/>
          <w:bCs/>
          <w:sz w:val="24"/>
          <w:szCs w:val="22"/>
          <w:lang w:val="en-US" w:eastAsia="zh-CN"/>
        </w:rPr>
        <w:t>采购人</w:t>
      </w:r>
      <w:r>
        <w:rPr>
          <w:rFonts w:hint="default" w:ascii="宋体" w:hAnsi="宋体" w:eastAsia="宋体" w:cs="宋体"/>
          <w:bCs/>
          <w:sz w:val="24"/>
          <w:szCs w:val="22"/>
          <w:lang w:val="en-US" w:eastAsia="zh-Hans"/>
        </w:rPr>
        <w:t>指定地点</w:t>
      </w:r>
      <w:r>
        <w:rPr>
          <w:rFonts w:hint="eastAsia" w:ascii="宋体" w:hAnsi="宋体" w:eastAsia="宋体" w:cs="宋体"/>
          <w:bCs/>
          <w:sz w:val="24"/>
          <w:szCs w:val="22"/>
          <w:lang w:val="en-US" w:eastAsia="zh-CN"/>
        </w:rPr>
        <w:t>，每批次</w:t>
      </w:r>
      <w:r>
        <w:rPr>
          <w:rFonts w:hint="eastAsia" w:ascii="宋体" w:hAnsi="宋体" w:eastAsia="宋体" w:cs="宋体"/>
          <w:bCs/>
          <w:sz w:val="24"/>
          <w:szCs w:val="22"/>
        </w:rPr>
        <w:t>经</w:t>
      </w:r>
      <w:r>
        <w:rPr>
          <w:rFonts w:hint="eastAsia" w:ascii="宋体" w:hAnsi="宋体" w:eastAsia="宋体" w:cs="宋体"/>
          <w:bCs/>
          <w:sz w:val="24"/>
          <w:szCs w:val="22"/>
          <w:lang w:val="en-US" w:eastAsia="zh-CN"/>
        </w:rPr>
        <w:t>采购人验收</w:t>
      </w:r>
      <w:r>
        <w:rPr>
          <w:rFonts w:hint="eastAsia" w:ascii="宋体" w:hAnsi="宋体" w:eastAsia="宋体" w:cs="宋体"/>
          <w:bCs/>
          <w:sz w:val="24"/>
          <w:szCs w:val="22"/>
        </w:rPr>
        <w:t>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，按照采购方的支付流程以转账的方式支付，</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341AB1E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3.运输装卸</w:t>
      </w:r>
      <w:r>
        <w:rPr>
          <w:rFonts w:hint="eastAsia" w:ascii="宋体" w:hAnsi="宋体" w:eastAsia="宋体" w:cs="宋体"/>
          <w:sz w:val="24"/>
          <w:szCs w:val="24"/>
        </w:rPr>
        <w:t>：成交供应商负责</w:t>
      </w:r>
      <w:r>
        <w:rPr>
          <w:rFonts w:hint="eastAsia" w:ascii="宋体" w:hAnsi="宋体" w:eastAsia="宋体" w:cs="宋体"/>
          <w:sz w:val="24"/>
          <w:szCs w:val="24"/>
          <w:lang w:eastAsia="zh-CN"/>
        </w:rPr>
        <w:t>货物的运输。</w:t>
      </w:r>
      <w:r>
        <w:rPr>
          <w:rFonts w:hint="eastAsia" w:ascii="宋体" w:hAnsi="宋体" w:eastAsia="宋体" w:cs="宋体"/>
          <w:sz w:val="24"/>
          <w:szCs w:val="24"/>
        </w:rPr>
        <w:t>货物到达现场后，成交供应商组织</w:t>
      </w:r>
      <w:r>
        <w:rPr>
          <w:rFonts w:hint="eastAsia" w:ascii="宋体" w:hAnsi="宋体" w:eastAsia="宋体" w:cs="宋体"/>
          <w:sz w:val="24"/>
          <w:szCs w:val="24"/>
          <w:lang w:eastAsia="zh-CN"/>
        </w:rPr>
        <w:t>装卸货物，搬运到采购人指定位置，</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运输及搬运</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3728339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4.质保期限：生产日期须在交货日期前2个月以内生产。（提供承诺函）</w:t>
      </w:r>
    </w:p>
    <w:p w14:paraId="6F183F4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5.成交供应商应保证提供的货物符合国家《食品安全国家标准包装饮用水》标准,包装坚固、密封良好，标识清晰完整包含产品名称、水源地、生产日期、保质期、生产厂家等相关信息内容。</w:t>
      </w:r>
    </w:p>
    <w:p w14:paraId="4DECE13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6.成交供应商免费提供一次性桶装水所需的茶吧机、免配送费，定期对茶吧机进行维护维保。</w:t>
      </w:r>
    </w:p>
    <w:p w14:paraId="765A3B4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7.成交供应商按照采购人的</w:t>
      </w:r>
      <w:r>
        <w:rPr>
          <w:rFonts w:hint="default" w:ascii="宋体" w:hAnsi="宋体" w:eastAsia="宋体" w:cs="宋体"/>
          <w:sz w:val="24"/>
          <w:szCs w:val="24"/>
          <w:lang w:val="en-US" w:eastAsia="zh-CN"/>
        </w:rPr>
        <w:t>要求设计矿泉水瓶身外观，定制化标签内容</w:t>
      </w:r>
      <w:r>
        <w:rPr>
          <w:rFonts w:hint="eastAsia" w:ascii="宋体" w:hAnsi="宋体" w:eastAsia="宋体" w:cs="宋体"/>
          <w:sz w:val="24"/>
          <w:szCs w:val="24"/>
          <w:lang w:val="en-US" w:eastAsia="zh-CN"/>
        </w:rPr>
        <w:t>。</w:t>
      </w:r>
    </w:p>
    <w:p w14:paraId="36BC5C82">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七、其他要求</w:t>
      </w:r>
    </w:p>
    <w:p w14:paraId="564815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评标过程中出现下列情形之⼀的，评审小组参照政府采购异常低价投标审查程序：</w:t>
      </w:r>
    </w:p>
    <w:p w14:paraId="3014A51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 xml:space="preserve">1、投标报价低于全部通过符合性审查供应商投标报价平均值 </w:t>
      </w:r>
      <w:r>
        <w:rPr>
          <w:rFonts w:hint="default" w:ascii="宋体" w:hAnsi="宋体" w:eastAsia="宋体" w:cs="宋体"/>
          <w:bCs/>
          <w:color w:val="auto"/>
          <w:sz w:val="24"/>
          <w:szCs w:val="22"/>
          <w:lang w:val="en-US" w:eastAsia="zh-CN"/>
        </w:rPr>
        <w:t xml:space="preserve">65 %的，即投标报价&lt;全部通过符合性审查供应商投标报价平均值× 65 %； </w:t>
      </w:r>
    </w:p>
    <w:p w14:paraId="4E0F6A0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w:t>
      </w:r>
      <w:r>
        <w:rPr>
          <w:rFonts w:hint="default" w:ascii="宋体" w:hAnsi="宋体" w:eastAsia="宋体" w:cs="宋体"/>
          <w:bCs/>
          <w:color w:val="auto"/>
          <w:sz w:val="24"/>
          <w:szCs w:val="22"/>
          <w:lang w:val="en-US" w:eastAsia="zh-CN"/>
        </w:rPr>
        <w:t xml:space="preserve">投标报价低于通过符合性审查的次低报价供应商投标报价 65 %的，即投标报价&lt;通过符合性审查的次低报价供应商投标报价×65 %； </w:t>
      </w:r>
    </w:p>
    <w:p w14:paraId="0DBCE6A4">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投标报价低于采购项⽬（采购包）最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限价 65 %的，即投标报价&lt;</w:t>
      </w:r>
      <w:r>
        <w:rPr>
          <w:rFonts w:hint="eastAsia" w:ascii="宋体" w:hAnsi="宋体" w:eastAsia="宋体" w:cs="宋体"/>
          <w:bCs/>
          <w:color w:val="auto"/>
          <w:sz w:val="24"/>
          <w:szCs w:val="22"/>
          <w:lang w:val="en-US" w:eastAsia="zh-CN"/>
        </w:rPr>
        <w:t>采购项目</w:t>
      </w:r>
      <w:r>
        <w:rPr>
          <w:rFonts w:hint="default" w:ascii="宋体" w:hAnsi="宋体" w:eastAsia="宋体" w:cs="宋体"/>
          <w:bCs/>
          <w:color w:val="auto"/>
          <w:sz w:val="24"/>
          <w:szCs w:val="22"/>
          <w:lang w:val="en-US" w:eastAsia="zh-CN"/>
        </w:rPr>
        <w:t>（采购包）最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 xml:space="preserve">限价× 65 %； </w:t>
      </w:r>
    </w:p>
    <w:p w14:paraId="038F7D87">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4、评审小组</w:t>
      </w:r>
      <w:r>
        <w:rPr>
          <w:rFonts w:hint="default" w:ascii="宋体" w:hAnsi="宋体" w:eastAsia="宋体" w:cs="宋体"/>
          <w:bCs/>
          <w:color w:val="auto"/>
          <w:sz w:val="24"/>
          <w:szCs w:val="22"/>
          <w:lang w:val="en-US" w:eastAsia="zh-CN"/>
        </w:rPr>
        <w:t xml:space="preserve">基于专业判断，认为供应商报价过低，有可能影响产品质量或者不能诚信履约的其他情形。 </w:t>
      </w:r>
    </w:p>
    <w:p w14:paraId="0D8898C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w:t>
      </w:r>
      <w:r>
        <w:rPr>
          <w:rFonts w:hint="eastAsia" w:ascii="宋体" w:hAnsi="宋体" w:eastAsia="宋体" w:cs="宋体"/>
          <w:bCs/>
          <w:color w:val="auto"/>
          <w:sz w:val="24"/>
          <w:szCs w:val="22"/>
          <w:lang w:val="en-US" w:eastAsia="zh-CN"/>
        </w:rPr>
        <w:t>人工成本</w:t>
      </w:r>
      <w:r>
        <w:rPr>
          <w:rFonts w:hint="default" w:ascii="宋体" w:hAnsi="宋体" w:eastAsia="宋体" w:cs="宋体"/>
          <w:bCs/>
          <w:color w:val="auto"/>
          <w:sz w:val="24"/>
          <w:szCs w:val="22"/>
          <w:lang w:val="en-US" w:eastAsia="zh-CN"/>
        </w:rPr>
        <w:t>、制造费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 xml:space="preserve">等，给予相关供应商的合理时间⼀般不少于30分钟。其中，属于第3项情形，供应商已随投标⽂件⼀并提交 相关书⾯说明及必要的证明材料的，在评审现场可不再重复提交。 </w:t>
      </w:r>
    </w:p>
    <w:p w14:paraId="19CB46C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会依据专业经验，参考同类</w:t>
      </w:r>
      <w:r>
        <w:rPr>
          <w:rFonts w:hint="eastAsia" w:ascii="宋体" w:hAnsi="宋体" w:eastAsia="宋体" w:cs="宋体"/>
          <w:bCs/>
          <w:color w:val="auto"/>
          <w:sz w:val="24"/>
          <w:szCs w:val="22"/>
          <w:lang w:val="en-US" w:eastAsia="zh-CN"/>
        </w:rPr>
        <w:t>项目</w:t>
      </w:r>
      <w:r>
        <w:rPr>
          <w:rFonts w:hint="default" w:ascii="宋体" w:hAnsi="宋体" w:eastAsia="宋体" w:cs="宋体"/>
          <w:bCs/>
          <w:color w:val="auto"/>
          <w:sz w:val="24"/>
          <w:szCs w:val="22"/>
          <w:lang w:val="en-US" w:eastAsia="zh-CN"/>
        </w:rPr>
        <w:t>中标（成交）价格、类似产品市场价格</w:t>
      </w:r>
      <w:r>
        <w:rPr>
          <w:rFonts w:hint="eastAsia" w:ascii="宋体" w:hAnsi="宋体" w:eastAsia="宋体" w:cs="宋体"/>
          <w:bCs/>
          <w:color w:val="auto"/>
          <w:sz w:val="24"/>
          <w:szCs w:val="22"/>
          <w:lang w:val="en-US" w:eastAsia="zh-CN"/>
        </w:rPr>
        <w:t>水平</w:t>
      </w:r>
      <w:r>
        <w:rPr>
          <w:rFonts w:hint="default" w:ascii="宋体" w:hAnsi="宋体" w:eastAsia="宋体" w:cs="宋体"/>
          <w:bCs/>
          <w:color w:val="auto"/>
          <w:sz w:val="24"/>
          <w:szCs w:val="22"/>
          <w:lang w:val="en-US" w:eastAsia="zh-CN"/>
        </w:rPr>
        <w:t>、</w:t>
      </w:r>
      <w:r>
        <w:rPr>
          <w:rFonts w:hint="eastAsia" w:ascii="宋体" w:hAnsi="宋体" w:eastAsia="宋体" w:cs="宋体"/>
          <w:bCs/>
          <w:color w:val="auto"/>
          <w:sz w:val="24"/>
          <w:szCs w:val="22"/>
          <w:lang w:val="en-US" w:eastAsia="zh-CN"/>
        </w:rPr>
        <w:t>行业人工</w:t>
      </w:r>
      <w:r>
        <w:rPr>
          <w:rFonts w:hint="default" w:ascii="宋体" w:hAnsi="宋体" w:eastAsia="宋体" w:cs="宋体"/>
          <w:bCs/>
          <w:color w:val="auto"/>
          <w:sz w:val="24"/>
          <w:szCs w:val="22"/>
          <w:lang w:val="en-US" w:eastAsia="zh-CN"/>
        </w:rPr>
        <w:t>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标准、国家有关部</w:t>
      </w:r>
      <w:r>
        <w:rPr>
          <w:rFonts w:hint="eastAsia" w:ascii="宋体" w:hAnsi="宋体" w:eastAsia="宋体" w:cs="宋体"/>
          <w:bCs/>
          <w:color w:val="auto"/>
          <w:sz w:val="24"/>
          <w:szCs w:val="22"/>
          <w:lang w:val="en-US" w:eastAsia="zh-CN"/>
        </w:rPr>
        <w:t>门</w:t>
      </w:r>
      <w:r>
        <w:rPr>
          <w:rFonts w:hint="default" w:ascii="宋体" w:hAnsi="宋体" w:eastAsia="宋体" w:cs="宋体"/>
          <w:bCs/>
          <w:color w:val="auto"/>
          <w:sz w:val="24"/>
          <w:szCs w:val="22"/>
          <w:lang w:val="en-US" w:eastAsia="zh-CN"/>
        </w:rPr>
        <w:t>指导</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协会发布的</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平均成本等情况，对报价合理性</w:t>
      </w:r>
      <w:r>
        <w:rPr>
          <w:rFonts w:hint="eastAsia" w:ascii="宋体" w:hAnsi="宋体" w:eastAsia="宋体" w:cs="宋体"/>
          <w:bCs/>
          <w:color w:val="auto"/>
          <w:sz w:val="24"/>
          <w:szCs w:val="22"/>
          <w:lang w:val="en-US" w:eastAsia="zh-CN"/>
        </w:rPr>
        <w:t>进行</w:t>
      </w:r>
      <w:r>
        <w:rPr>
          <w:rFonts w:hint="default" w:ascii="宋体" w:hAnsi="宋体" w:eastAsia="宋体" w:cs="宋体"/>
          <w:bCs/>
          <w:color w:val="auto"/>
          <w:sz w:val="24"/>
          <w:szCs w:val="22"/>
          <w:lang w:val="en-US" w:eastAsia="zh-CN"/>
        </w:rPr>
        <w:t>判断。投标供应商不能提供书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说明、证明材料，或者提供的书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说明、证明材料不能证明其报价合理性的，</w:t>
      </w: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应当将其作为</w:t>
      </w:r>
      <w:r>
        <w:rPr>
          <w:rFonts w:hint="eastAsia" w:ascii="宋体" w:hAnsi="宋体" w:eastAsia="宋体" w:cs="宋体"/>
          <w:bCs/>
          <w:color w:val="auto"/>
          <w:sz w:val="24"/>
          <w:szCs w:val="22"/>
          <w:lang w:val="en-US" w:eastAsia="zh-CN"/>
        </w:rPr>
        <w:t>无</w:t>
      </w:r>
      <w:r>
        <w:rPr>
          <w:rFonts w:hint="default" w:ascii="宋体" w:hAnsi="宋体" w:eastAsia="宋体" w:cs="宋体"/>
          <w:bCs/>
          <w:color w:val="auto"/>
          <w:sz w:val="24"/>
          <w:szCs w:val="22"/>
          <w:lang w:val="en-US" w:eastAsia="zh-CN"/>
        </w:rPr>
        <w:t>效投标处理。</w:t>
      </w:r>
    </w:p>
    <w:p w14:paraId="7F031E40">
      <w:pPr>
        <w:rPr>
          <w:rFonts w:hint="eastAsia"/>
          <w:lang w:val="en-US" w:eastAsia="zh-CN"/>
        </w:rPr>
      </w:pPr>
    </w:p>
    <w:p w14:paraId="393497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备注：本章采购文件中标注“★”号的条款为本次采购项目的实质性要求，供应商应全部满足；带“▲”的为重要性参数条款，需提供相应的证明材料进行佐证。</w:t>
      </w:r>
    </w:p>
    <w:p w14:paraId="0AD0EAE9">
      <w:pPr>
        <w:pStyle w:val="2"/>
        <w:rPr>
          <w:rFonts w:hint="eastAsia" w:ascii="宋体" w:hAnsi="宋体" w:eastAsia="宋体" w:cs="宋体"/>
          <w:sz w:val="24"/>
          <w:szCs w:val="24"/>
          <w:lang w:val="en-US" w:eastAsia="zh-CN"/>
        </w:rPr>
      </w:pPr>
    </w:p>
    <w:p w14:paraId="5E538AAF">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p>
    <w:p w14:paraId="0DC610A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38D3C7B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63EED12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4F7F4336">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50493DEC">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3FD8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5" w:hRule="atLeast"/>
          <w:jc w:val="center"/>
        </w:trPr>
        <w:tc>
          <w:tcPr>
            <w:tcW w:w="795" w:type="dxa"/>
            <w:noWrap w:val="0"/>
            <w:vAlign w:val="center"/>
          </w:tcPr>
          <w:p w14:paraId="60CF8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7C3753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5A5ABF3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46026D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6EA4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68" w:hRule="atLeast"/>
          <w:jc w:val="center"/>
        </w:trPr>
        <w:tc>
          <w:tcPr>
            <w:tcW w:w="795" w:type="dxa"/>
            <w:noWrap w:val="0"/>
            <w:vAlign w:val="center"/>
          </w:tcPr>
          <w:p w14:paraId="0CAAE7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4A1C81A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28D6EC2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39分</w:t>
            </w:r>
          </w:p>
        </w:tc>
        <w:tc>
          <w:tcPr>
            <w:tcW w:w="6128" w:type="dxa"/>
            <w:noWrap w:val="0"/>
            <w:vAlign w:val="center"/>
          </w:tcPr>
          <w:p w14:paraId="7602DC4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报价为单价汇总报价</w:t>
            </w:r>
            <w:r>
              <w:rPr>
                <w:rFonts w:hint="eastAsia" w:ascii="宋体" w:hAnsi="宋体" w:eastAsia="宋体" w:cs="宋体"/>
                <w:b/>
                <w:bCs/>
                <w:color w:val="000000"/>
                <w:sz w:val="24"/>
                <w:szCs w:val="24"/>
                <w:lang w:eastAsia="zh-CN"/>
              </w:rPr>
              <w:t>。</w:t>
            </w:r>
          </w:p>
          <w:p w14:paraId="2C74EB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满足招标文件要求且投标价格最低的报价为评标基准价，其价格分为满分。其他投标人的价格分统一按照下列公式计算：投标报价得分=（评标基准价／投标报价）×39。</w:t>
            </w:r>
          </w:p>
        </w:tc>
      </w:tr>
      <w:tr w14:paraId="265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57" w:hRule="atLeast"/>
          <w:jc w:val="center"/>
        </w:trPr>
        <w:tc>
          <w:tcPr>
            <w:tcW w:w="795" w:type="dxa"/>
            <w:noWrap w:val="0"/>
            <w:vAlign w:val="center"/>
          </w:tcPr>
          <w:p w14:paraId="41C2706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3A417D8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技术要求</w:t>
            </w:r>
          </w:p>
        </w:tc>
        <w:tc>
          <w:tcPr>
            <w:tcW w:w="1080" w:type="dxa"/>
            <w:noWrap w:val="0"/>
            <w:vAlign w:val="center"/>
          </w:tcPr>
          <w:p w14:paraId="440B283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25分</w:t>
            </w:r>
          </w:p>
        </w:tc>
        <w:tc>
          <w:tcPr>
            <w:tcW w:w="6128" w:type="dxa"/>
            <w:noWrap w:val="0"/>
            <w:vAlign w:val="center"/>
          </w:tcPr>
          <w:p w14:paraId="049F49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投标人针对“技术要求”中“▲”条款的响应得分规则如下:“▲”技术要求条款共25条，每一条响应得1分，完全响应的25分，不符合要求的每条扣1分，扣完为止。</w:t>
            </w:r>
          </w:p>
          <w:p w14:paraId="0EB939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注：比选文件“重要性参数条款指标注“</w:t>
            </w:r>
            <w:bookmarkStart w:id="1" w:name="OLE_LINK4"/>
            <w:r>
              <w:rPr>
                <w:rFonts w:hint="eastAsia" w:ascii="宋体" w:hAnsi="宋体" w:eastAsia="宋体" w:cs="宋体"/>
                <w:color w:val="000000"/>
                <w:kern w:val="0"/>
                <w:sz w:val="24"/>
                <w:szCs w:val="24"/>
                <w:lang w:val="en-US" w:eastAsia="zh-CN"/>
              </w:rPr>
              <w:t>▲</w:t>
            </w:r>
            <w:bookmarkEnd w:id="1"/>
            <w:r>
              <w:rPr>
                <w:rFonts w:hint="eastAsia" w:ascii="宋体" w:hAnsi="宋体" w:eastAsia="宋体" w:cs="宋体"/>
                <w:color w:val="000000"/>
                <w:kern w:val="0"/>
                <w:sz w:val="24"/>
                <w:szCs w:val="24"/>
                <w:lang w:val="en-US" w:eastAsia="zh-CN"/>
              </w:rPr>
              <w:t>”的条款”需提供参数中相应的证明材料进行佐证的，若提供的材料不能完全满足或未提供的按上述条款进行扣分。</w:t>
            </w:r>
          </w:p>
        </w:tc>
      </w:tr>
      <w:tr w14:paraId="168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64" w:hRule="atLeast"/>
          <w:jc w:val="center"/>
        </w:trPr>
        <w:tc>
          <w:tcPr>
            <w:tcW w:w="795" w:type="dxa"/>
            <w:noWrap w:val="0"/>
            <w:vAlign w:val="center"/>
          </w:tcPr>
          <w:p w14:paraId="28C1C1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6399DE3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782FDBB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53EB43D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供应商根据本项目特点，提供实施方案至少包含：</w:t>
            </w:r>
            <w:r>
              <w:rPr>
                <w:rFonts w:hint="eastAsia" w:ascii="宋体" w:hAnsi="宋体" w:eastAsia="宋体" w:cs="宋体"/>
                <w:color w:val="auto"/>
                <w:kern w:val="0"/>
                <w:sz w:val="24"/>
                <w:szCs w:val="24"/>
                <w:lang w:val="en-US" w:eastAsia="zh-Hans"/>
              </w:rPr>
              <w:t>①备货</w:t>
            </w:r>
            <w:r>
              <w:rPr>
                <w:rFonts w:hint="eastAsia" w:ascii="宋体" w:hAnsi="宋体" w:eastAsia="宋体" w:cs="宋体"/>
                <w:color w:val="auto"/>
                <w:kern w:val="0"/>
                <w:sz w:val="24"/>
                <w:szCs w:val="24"/>
                <w:lang w:val="en-US" w:eastAsia="zh-CN"/>
              </w:rPr>
              <w:t>方案及服务流程</w:t>
            </w:r>
            <w:r>
              <w:rPr>
                <w:rFonts w:hint="eastAsia" w:ascii="宋体" w:hAnsi="宋体" w:eastAsia="宋体" w:cs="宋体"/>
                <w:color w:val="auto"/>
                <w:kern w:val="0"/>
                <w:sz w:val="24"/>
                <w:szCs w:val="24"/>
                <w:lang w:val="en-US" w:eastAsia="zh-Hans"/>
              </w:rPr>
              <w:t>；②产品质量保证措施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③</w:t>
            </w:r>
            <w:r>
              <w:rPr>
                <w:rFonts w:hint="eastAsia" w:ascii="宋体" w:hAnsi="宋体" w:eastAsia="宋体" w:cs="宋体"/>
                <w:color w:val="auto"/>
                <w:kern w:val="0"/>
                <w:sz w:val="24"/>
                <w:szCs w:val="24"/>
                <w:lang w:val="en-US" w:eastAsia="zh-CN"/>
              </w:rPr>
              <w:t>配送方案；</w:t>
            </w:r>
            <w:r>
              <w:rPr>
                <w:rFonts w:hint="eastAsia" w:ascii="宋体" w:hAnsi="宋体" w:eastAsia="宋体" w:cs="宋体"/>
                <w:color w:val="auto"/>
                <w:kern w:val="0"/>
                <w:sz w:val="24"/>
                <w:szCs w:val="24"/>
                <w:lang w:val="en-US" w:eastAsia="zh-Hans"/>
              </w:rPr>
              <w:t>④</w:t>
            </w:r>
            <w:r>
              <w:rPr>
                <w:rFonts w:hint="eastAsia" w:ascii="宋体" w:hAnsi="宋体" w:eastAsia="宋体" w:cs="宋体"/>
                <w:color w:val="auto"/>
                <w:kern w:val="0"/>
                <w:sz w:val="24"/>
                <w:szCs w:val="24"/>
                <w:lang w:val="en-US" w:eastAsia="zh-CN"/>
              </w:rPr>
              <w:t>团队</w:t>
            </w:r>
            <w:r>
              <w:rPr>
                <w:rFonts w:hint="eastAsia" w:ascii="宋体" w:hAnsi="宋体" w:eastAsia="宋体" w:cs="宋体"/>
                <w:color w:val="auto"/>
                <w:kern w:val="0"/>
                <w:sz w:val="24"/>
                <w:szCs w:val="24"/>
                <w:lang w:val="en-US" w:eastAsia="zh-Hans"/>
              </w:rPr>
              <w:t>人员的配置。</w:t>
            </w:r>
            <w:r>
              <w:rPr>
                <w:rFonts w:hint="eastAsia" w:ascii="宋体" w:hAnsi="宋体" w:eastAsia="宋体" w:cs="宋体"/>
                <w:color w:val="auto"/>
                <w:kern w:val="0"/>
                <w:sz w:val="24"/>
                <w:szCs w:val="24"/>
                <w:lang w:val="en-US" w:eastAsia="zh-CN"/>
              </w:rPr>
              <w:t>每具有一项得2分，最多得8分。</w:t>
            </w:r>
          </w:p>
          <w:p w14:paraId="6B80740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3B0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3" w:hRule="atLeast"/>
          <w:jc w:val="center"/>
        </w:trPr>
        <w:tc>
          <w:tcPr>
            <w:tcW w:w="795" w:type="dxa"/>
            <w:noWrap w:val="0"/>
            <w:vAlign w:val="center"/>
          </w:tcPr>
          <w:p w14:paraId="6D974C9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5F99E99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5F1E809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46370EC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供应商需为本项目提供售后服务方案，方案包括：①售后服务人员配备及职责分工；②售后服务保障措施；③售后服务响应流程；④退换货保障。</w:t>
            </w:r>
            <w:r>
              <w:rPr>
                <w:rFonts w:hint="eastAsia" w:ascii="宋体" w:hAnsi="宋体" w:eastAsia="宋体" w:cs="宋体"/>
                <w:color w:val="auto"/>
                <w:kern w:val="0"/>
                <w:sz w:val="24"/>
                <w:szCs w:val="24"/>
                <w:lang w:val="en-US" w:eastAsia="zh-CN"/>
              </w:rPr>
              <w:t>每具有一项得2分，最多得8分。</w:t>
            </w:r>
          </w:p>
          <w:p w14:paraId="1BD17E7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6AC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6" w:hRule="atLeast"/>
          <w:jc w:val="center"/>
        </w:trPr>
        <w:tc>
          <w:tcPr>
            <w:tcW w:w="795" w:type="dxa"/>
            <w:noWrap w:val="0"/>
            <w:vAlign w:val="center"/>
          </w:tcPr>
          <w:p w14:paraId="786A6FF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091DE1E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履约能力</w:t>
            </w:r>
          </w:p>
        </w:tc>
        <w:tc>
          <w:tcPr>
            <w:tcW w:w="1080" w:type="dxa"/>
            <w:noWrap w:val="0"/>
            <w:vAlign w:val="center"/>
          </w:tcPr>
          <w:p w14:paraId="29A398D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3366C1C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投标人提供的2023年1月至今类似业绩，每提供一个业绩证明得 2分，最高得10分。</w:t>
            </w:r>
          </w:p>
          <w:p w14:paraId="66016DC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注：提供合同或中标通知书扫描件（加盖投标人公章）。</w:t>
            </w:r>
          </w:p>
        </w:tc>
      </w:tr>
      <w:tr w14:paraId="774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93" w:hRule="atLeast"/>
          <w:jc w:val="center"/>
        </w:trPr>
        <w:tc>
          <w:tcPr>
            <w:tcW w:w="795" w:type="dxa"/>
            <w:noWrap w:val="0"/>
            <w:vAlign w:val="center"/>
          </w:tcPr>
          <w:p w14:paraId="79A6298F">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w:t>
            </w:r>
          </w:p>
        </w:tc>
        <w:tc>
          <w:tcPr>
            <w:tcW w:w="1320" w:type="dxa"/>
            <w:noWrap w:val="0"/>
            <w:vAlign w:val="center"/>
          </w:tcPr>
          <w:p w14:paraId="1D85B49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6081608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1A9247E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遇紧急情况需现场响应，以接到院方电话至货物送达所需的时间计。（提供服务承诺函）</w:t>
            </w:r>
          </w:p>
          <w:p w14:paraId="4645EE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①服务响应时间≤20分钟得10分，②服务响应时间&gt;20分钟＜1小时得7分，③服务响应时间&gt;1小时＜2小时得5分，大于2小时不得分。</w:t>
            </w:r>
          </w:p>
        </w:tc>
      </w:tr>
    </w:tbl>
    <w:p w14:paraId="6E6CD7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41A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9368AC"/>
    <w:rsid w:val="00D31D50"/>
    <w:rsid w:val="00DC5781"/>
    <w:rsid w:val="01407599"/>
    <w:rsid w:val="021516A5"/>
    <w:rsid w:val="02501EAD"/>
    <w:rsid w:val="02F46E33"/>
    <w:rsid w:val="03557B41"/>
    <w:rsid w:val="03643BA3"/>
    <w:rsid w:val="0371288D"/>
    <w:rsid w:val="03A25A70"/>
    <w:rsid w:val="03BE72A6"/>
    <w:rsid w:val="03C7142B"/>
    <w:rsid w:val="03DC5987"/>
    <w:rsid w:val="0417329C"/>
    <w:rsid w:val="04641826"/>
    <w:rsid w:val="04945734"/>
    <w:rsid w:val="056D6E47"/>
    <w:rsid w:val="062563F0"/>
    <w:rsid w:val="06786A3E"/>
    <w:rsid w:val="06BD65DA"/>
    <w:rsid w:val="079B60C5"/>
    <w:rsid w:val="07C14663"/>
    <w:rsid w:val="080A4C11"/>
    <w:rsid w:val="085849F4"/>
    <w:rsid w:val="08955CC7"/>
    <w:rsid w:val="08A4624A"/>
    <w:rsid w:val="08B122D5"/>
    <w:rsid w:val="0901048B"/>
    <w:rsid w:val="090D23FF"/>
    <w:rsid w:val="092956CE"/>
    <w:rsid w:val="092A4F3A"/>
    <w:rsid w:val="094E03E0"/>
    <w:rsid w:val="09530849"/>
    <w:rsid w:val="09AE62F4"/>
    <w:rsid w:val="0A2E7329"/>
    <w:rsid w:val="0A621C82"/>
    <w:rsid w:val="0A6F3FD3"/>
    <w:rsid w:val="0AB25CAB"/>
    <w:rsid w:val="0AF323F3"/>
    <w:rsid w:val="0B8C2409"/>
    <w:rsid w:val="0B90462A"/>
    <w:rsid w:val="0B93058C"/>
    <w:rsid w:val="0BA039D5"/>
    <w:rsid w:val="0C742E5A"/>
    <w:rsid w:val="0CDF4B5B"/>
    <w:rsid w:val="0D320F13"/>
    <w:rsid w:val="0D3C0B7C"/>
    <w:rsid w:val="0D547C85"/>
    <w:rsid w:val="0D7F34E3"/>
    <w:rsid w:val="0DBB7AE7"/>
    <w:rsid w:val="0DD71875"/>
    <w:rsid w:val="0DF32AF1"/>
    <w:rsid w:val="0E454327"/>
    <w:rsid w:val="0E56673C"/>
    <w:rsid w:val="0E5F4E01"/>
    <w:rsid w:val="0EE631E2"/>
    <w:rsid w:val="0EF258A8"/>
    <w:rsid w:val="0F8B73C0"/>
    <w:rsid w:val="0FD75850"/>
    <w:rsid w:val="10261BDE"/>
    <w:rsid w:val="107E269F"/>
    <w:rsid w:val="1090591F"/>
    <w:rsid w:val="10CB1583"/>
    <w:rsid w:val="10F0650D"/>
    <w:rsid w:val="11453C83"/>
    <w:rsid w:val="11464905"/>
    <w:rsid w:val="11EF349A"/>
    <w:rsid w:val="123002D8"/>
    <w:rsid w:val="12684E77"/>
    <w:rsid w:val="12A70BC3"/>
    <w:rsid w:val="12FD0B67"/>
    <w:rsid w:val="130D7106"/>
    <w:rsid w:val="13222D7C"/>
    <w:rsid w:val="13550A5B"/>
    <w:rsid w:val="14C21806"/>
    <w:rsid w:val="1567498B"/>
    <w:rsid w:val="15872005"/>
    <w:rsid w:val="15A227A2"/>
    <w:rsid w:val="15E6145E"/>
    <w:rsid w:val="15FD432B"/>
    <w:rsid w:val="1609367D"/>
    <w:rsid w:val="160C5ED0"/>
    <w:rsid w:val="1665032B"/>
    <w:rsid w:val="173A441D"/>
    <w:rsid w:val="190A7A32"/>
    <w:rsid w:val="19E347EF"/>
    <w:rsid w:val="19E97045"/>
    <w:rsid w:val="19F3629F"/>
    <w:rsid w:val="1A583AE3"/>
    <w:rsid w:val="1BA925B9"/>
    <w:rsid w:val="1BB856C7"/>
    <w:rsid w:val="1BBD260B"/>
    <w:rsid w:val="1BF558A3"/>
    <w:rsid w:val="1C3F5A67"/>
    <w:rsid w:val="1C6F051E"/>
    <w:rsid w:val="1D7718CE"/>
    <w:rsid w:val="1DDE6103"/>
    <w:rsid w:val="1E930EB0"/>
    <w:rsid w:val="1EA9743F"/>
    <w:rsid w:val="1EB21AF5"/>
    <w:rsid w:val="1EE57977"/>
    <w:rsid w:val="1F5A2C28"/>
    <w:rsid w:val="1F910AD0"/>
    <w:rsid w:val="1FA26413"/>
    <w:rsid w:val="1FDC56A6"/>
    <w:rsid w:val="212B77D5"/>
    <w:rsid w:val="21450FFE"/>
    <w:rsid w:val="219A3DC7"/>
    <w:rsid w:val="21AB0984"/>
    <w:rsid w:val="21BF00A5"/>
    <w:rsid w:val="22270513"/>
    <w:rsid w:val="222C7FA3"/>
    <w:rsid w:val="22335E5D"/>
    <w:rsid w:val="224E4699"/>
    <w:rsid w:val="225F5A5E"/>
    <w:rsid w:val="22B3344A"/>
    <w:rsid w:val="22C3542A"/>
    <w:rsid w:val="22E916AC"/>
    <w:rsid w:val="23E93047"/>
    <w:rsid w:val="242E418A"/>
    <w:rsid w:val="243C4E62"/>
    <w:rsid w:val="24F20082"/>
    <w:rsid w:val="25714C8B"/>
    <w:rsid w:val="25863702"/>
    <w:rsid w:val="2630111A"/>
    <w:rsid w:val="263E7561"/>
    <w:rsid w:val="265867F4"/>
    <w:rsid w:val="26854051"/>
    <w:rsid w:val="26A2676C"/>
    <w:rsid w:val="26CF177E"/>
    <w:rsid w:val="2712692B"/>
    <w:rsid w:val="273C4DA6"/>
    <w:rsid w:val="276028A6"/>
    <w:rsid w:val="280E60D5"/>
    <w:rsid w:val="28452984"/>
    <w:rsid w:val="28783286"/>
    <w:rsid w:val="288E74A6"/>
    <w:rsid w:val="289C4569"/>
    <w:rsid w:val="28C332B8"/>
    <w:rsid w:val="29A701B4"/>
    <w:rsid w:val="2A9A12C8"/>
    <w:rsid w:val="2AA90FBC"/>
    <w:rsid w:val="2BBA320E"/>
    <w:rsid w:val="2BCE573E"/>
    <w:rsid w:val="2C410023"/>
    <w:rsid w:val="2CB85548"/>
    <w:rsid w:val="2D0F5755"/>
    <w:rsid w:val="2D5E6308"/>
    <w:rsid w:val="2DDC6980"/>
    <w:rsid w:val="2E1364F0"/>
    <w:rsid w:val="2E351C66"/>
    <w:rsid w:val="2F0B55F7"/>
    <w:rsid w:val="2F0E2C00"/>
    <w:rsid w:val="2F3B6D5A"/>
    <w:rsid w:val="2F6947E2"/>
    <w:rsid w:val="2F847CA8"/>
    <w:rsid w:val="2FB3176C"/>
    <w:rsid w:val="2FE41812"/>
    <w:rsid w:val="2FF179F3"/>
    <w:rsid w:val="30D561DD"/>
    <w:rsid w:val="311364BA"/>
    <w:rsid w:val="31190FA9"/>
    <w:rsid w:val="313501CA"/>
    <w:rsid w:val="31854C19"/>
    <w:rsid w:val="31AB554A"/>
    <w:rsid w:val="321662B1"/>
    <w:rsid w:val="32C9341A"/>
    <w:rsid w:val="333211B8"/>
    <w:rsid w:val="33AA4745"/>
    <w:rsid w:val="34C3680E"/>
    <w:rsid w:val="34F74E35"/>
    <w:rsid w:val="35654540"/>
    <w:rsid w:val="35852220"/>
    <w:rsid w:val="3591666F"/>
    <w:rsid w:val="35955A82"/>
    <w:rsid w:val="35C46E05"/>
    <w:rsid w:val="36616728"/>
    <w:rsid w:val="36742041"/>
    <w:rsid w:val="368643CC"/>
    <w:rsid w:val="373E11A0"/>
    <w:rsid w:val="377E67E5"/>
    <w:rsid w:val="37A22840"/>
    <w:rsid w:val="37CD610A"/>
    <w:rsid w:val="38645721"/>
    <w:rsid w:val="388451E2"/>
    <w:rsid w:val="389C4706"/>
    <w:rsid w:val="38C17FE3"/>
    <w:rsid w:val="38F401FF"/>
    <w:rsid w:val="396E4F55"/>
    <w:rsid w:val="398038C3"/>
    <w:rsid w:val="399E78AC"/>
    <w:rsid w:val="39A17949"/>
    <w:rsid w:val="3A2931B0"/>
    <w:rsid w:val="3A426F1C"/>
    <w:rsid w:val="3A567DB4"/>
    <w:rsid w:val="3AA25A1F"/>
    <w:rsid w:val="3ACD2F84"/>
    <w:rsid w:val="3AE7182B"/>
    <w:rsid w:val="3AFE0BC3"/>
    <w:rsid w:val="3B3D76DD"/>
    <w:rsid w:val="3BC45328"/>
    <w:rsid w:val="3BE54EA1"/>
    <w:rsid w:val="3BF8293A"/>
    <w:rsid w:val="3D1C5791"/>
    <w:rsid w:val="3D9669D7"/>
    <w:rsid w:val="3DA03702"/>
    <w:rsid w:val="3E277B0B"/>
    <w:rsid w:val="3E3005A2"/>
    <w:rsid w:val="3E595263"/>
    <w:rsid w:val="3E6E069F"/>
    <w:rsid w:val="3E8C2A3B"/>
    <w:rsid w:val="3EA92194"/>
    <w:rsid w:val="3F274A8A"/>
    <w:rsid w:val="3F541370"/>
    <w:rsid w:val="3F5C0FD3"/>
    <w:rsid w:val="3F703F67"/>
    <w:rsid w:val="40B9121F"/>
    <w:rsid w:val="420D641E"/>
    <w:rsid w:val="42B07649"/>
    <w:rsid w:val="433D1D1E"/>
    <w:rsid w:val="43546E35"/>
    <w:rsid w:val="4412562B"/>
    <w:rsid w:val="442554C0"/>
    <w:rsid w:val="445F70EA"/>
    <w:rsid w:val="44A77C8A"/>
    <w:rsid w:val="45C24F72"/>
    <w:rsid w:val="45DF556B"/>
    <w:rsid w:val="46897587"/>
    <w:rsid w:val="46AE261E"/>
    <w:rsid w:val="47900BCC"/>
    <w:rsid w:val="47AE3E01"/>
    <w:rsid w:val="481734F9"/>
    <w:rsid w:val="486328DC"/>
    <w:rsid w:val="489573EA"/>
    <w:rsid w:val="490B5C70"/>
    <w:rsid w:val="492242BA"/>
    <w:rsid w:val="4925522C"/>
    <w:rsid w:val="49394FA2"/>
    <w:rsid w:val="49591AD0"/>
    <w:rsid w:val="49B062E0"/>
    <w:rsid w:val="4A1F0985"/>
    <w:rsid w:val="4A650358"/>
    <w:rsid w:val="4AF43C89"/>
    <w:rsid w:val="4B2E539F"/>
    <w:rsid w:val="4B7E7190"/>
    <w:rsid w:val="4B8436AC"/>
    <w:rsid w:val="4B9425F5"/>
    <w:rsid w:val="4BA335AF"/>
    <w:rsid w:val="4BC94021"/>
    <w:rsid w:val="4BEB58D7"/>
    <w:rsid w:val="4C0809AB"/>
    <w:rsid w:val="4CFD3FE3"/>
    <w:rsid w:val="4D1C410B"/>
    <w:rsid w:val="4D354244"/>
    <w:rsid w:val="4DC43456"/>
    <w:rsid w:val="4DE168AA"/>
    <w:rsid w:val="4E3E2CEE"/>
    <w:rsid w:val="4EAA7AD3"/>
    <w:rsid w:val="4EAC571D"/>
    <w:rsid w:val="4EB42104"/>
    <w:rsid w:val="4EC56BAF"/>
    <w:rsid w:val="4EDB73FB"/>
    <w:rsid w:val="4EEC269E"/>
    <w:rsid w:val="4EED22AF"/>
    <w:rsid w:val="4F0056F6"/>
    <w:rsid w:val="4F0B2BF7"/>
    <w:rsid w:val="4F345D0C"/>
    <w:rsid w:val="4F483548"/>
    <w:rsid w:val="4F8A255C"/>
    <w:rsid w:val="4FD3060D"/>
    <w:rsid w:val="506C74D1"/>
    <w:rsid w:val="50CE67DD"/>
    <w:rsid w:val="50D4117E"/>
    <w:rsid w:val="51043EC0"/>
    <w:rsid w:val="51216EEC"/>
    <w:rsid w:val="512331A2"/>
    <w:rsid w:val="513554D1"/>
    <w:rsid w:val="513C5E30"/>
    <w:rsid w:val="5155754D"/>
    <w:rsid w:val="517D01D7"/>
    <w:rsid w:val="5271399A"/>
    <w:rsid w:val="5288331B"/>
    <w:rsid w:val="528B6069"/>
    <w:rsid w:val="52DF7207"/>
    <w:rsid w:val="534D5875"/>
    <w:rsid w:val="53625968"/>
    <w:rsid w:val="537A378B"/>
    <w:rsid w:val="53A95A46"/>
    <w:rsid w:val="53AC12DB"/>
    <w:rsid w:val="53C107B2"/>
    <w:rsid w:val="541371A6"/>
    <w:rsid w:val="54187B16"/>
    <w:rsid w:val="543F21A5"/>
    <w:rsid w:val="544C29A3"/>
    <w:rsid w:val="544E3685"/>
    <w:rsid w:val="55375941"/>
    <w:rsid w:val="559A2AA4"/>
    <w:rsid w:val="55E96352"/>
    <w:rsid w:val="56035DBF"/>
    <w:rsid w:val="562400EE"/>
    <w:rsid w:val="566937B9"/>
    <w:rsid w:val="56B700CF"/>
    <w:rsid w:val="576D52B4"/>
    <w:rsid w:val="57BC38B5"/>
    <w:rsid w:val="57C524CD"/>
    <w:rsid w:val="581561F7"/>
    <w:rsid w:val="582D12ED"/>
    <w:rsid w:val="58A17598"/>
    <w:rsid w:val="59255FF5"/>
    <w:rsid w:val="59956DB7"/>
    <w:rsid w:val="59C65A1B"/>
    <w:rsid w:val="5A0906A2"/>
    <w:rsid w:val="5A346F59"/>
    <w:rsid w:val="5A8C3B8F"/>
    <w:rsid w:val="5B7C273E"/>
    <w:rsid w:val="5BD0141B"/>
    <w:rsid w:val="5BE86194"/>
    <w:rsid w:val="5C5C55DD"/>
    <w:rsid w:val="5CAE5EDF"/>
    <w:rsid w:val="5CB63EB6"/>
    <w:rsid w:val="5CF722FD"/>
    <w:rsid w:val="5D6A14CE"/>
    <w:rsid w:val="5DBD5D29"/>
    <w:rsid w:val="5DBF2A2A"/>
    <w:rsid w:val="5DE44CF5"/>
    <w:rsid w:val="5E791C95"/>
    <w:rsid w:val="5EA3221D"/>
    <w:rsid w:val="5EA66F97"/>
    <w:rsid w:val="5ECD70DE"/>
    <w:rsid w:val="5F98766C"/>
    <w:rsid w:val="60243A9F"/>
    <w:rsid w:val="6038044C"/>
    <w:rsid w:val="60BD3573"/>
    <w:rsid w:val="610138D7"/>
    <w:rsid w:val="61032959"/>
    <w:rsid w:val="61254886"/>
    <w:rsid w:val="61271B65"/>
    <w:rsid w:val="613F7485"/>
    <w:rsid w:val="61460D3D"/>
    <w:rsid w:val="615E630F"/>
    <w:rsid w:val="620F05C1"/>
    <w:rsid w:val="623F5FB6"/>
    <w:rsid w:val="62950034"/>
    <w:rsid w:val="62BC7372"/>
    <w:rsid w:val="62CA77CE"/>
    <w:rsid w:val="6326497F"/>
    <w:rsid w:val="634C27BB"/>
    <w:rsid w:val="639A6186"/>
    <w:rsid w:val="63FB264E"/>
    <w:rsid w:val="64223B5D"/>
    <w:rsid w:val="64E73AB9"/>
    <w:rsid w:val="64F4112F"/>
    <w:rsid w:val="64FA2D12"/>
    <w:rsid w:val="65462941"/>
    <w:rsid w:val="65AB07A2"/>
    <w:rsid w:val="668E728D"/>
    <w:rsid w:val="66BC4289"/>
    <w:rsid w:val="66CC2299"/>
    <w:rsid w:val="66FF40B7"/>
    <w:rsid w:val="670A32E1"/>
    <w:rsid w:val="67174E5B"/>
    <w:rsid w:val="67B54AD6"/>
    <w:rsid w:val="67CC1E24"/>
    <w:rsid w:val="67E72AB0"/>
    <w:rsid w:val="68155795"/>
    <w:rsid w:val="682567EB"/>
    <w:rsid w:val="69155868"/>
    <w:rsid w:val="691E7675"/>
    <w:rsid w:val="69AC7F35"/>
    <w:rsid w:val="69DF2131"/>
    <w:rsid w:val="6A154812"/>
    <w:rsid w:val="6A1C73E6"/>
    <w:rsid w:val="6B7B482E"/>
    <w:rsid w:val="6BF77602"/>
    <w:rsid w:val="6C564D84"/>
    <w:rsid w:val="6CD31485"/>
    <w:rsid w:val="6D431A70"/>
    <w:rsid w:val="6D576D77"/>
    <w:rsid w:val="6D655BCB"/>
    <w:rsid w:val="6D672909"/>
    <w:rsid w:val="6D856832"/>
    <w:rsid w:val="6D8B7DF4"/>
    <w:rsid w:val="6DB62387"/>
    <w:rsid w:val="6DCE122D"/>
    <w:rsid w:val="6DED068F"/>
    <w:rsid w:val="6E2455A9"/>
    <w:rsid w:val="6ECD4AB5"/>
    <w:rsid w:val="6EF859C0"/>
    <w:rsid w:val="6F043537"/>
    <w:rsid w:val="6F3B5356"/>
    <w:rsid w:val="6FB00FAA"/>
    <w:rsid w:val="6FFD50BD"/>
    <w:rsid w:val="6FFD6A40"/>
    <w:rsid w:val="70336FAC"/>
    <w:rsid w:val="70627E2F"/>
    <w:rsid w:val="70D20B5B"/>
    <w:rsid w:val="70D513A6"/>
    <w:rsid w:val="71906080"/>
    <w:rsid w:val="71D01943"/>
    <w:rsid w:val="722C1143"/>
    <w:rsid w:val="72A75115"/>
    <w:rsid w:val="72D831E8"/>
    <w:rsid w:val="72E74E88"/>
    <w:rsid w:val="73722A02"/>
    <w:rsid w:val="73D9354B"/>
    <w:rsid w:val="74321829"/>
    <w:rsid w:val="747334C7"/>
    <w:rsid w:val="74DA61C1"/>
    <w:rsid w:val="75594A37"/>
    <w:rsid w:val="75A27392"/>
    <w:rsid w:val="75BD2C10"/>
    <w:rsid w:val="761128FF"/>
    <w:rsid w:val="7637284B"/>
    <w:rsid w:val="76B946BB"/>
    <w:rsid w:val="76EE1771"/>
    <w:rsid w:val="770521A1"/>
    <w:rsid w:val="779241ED"/>
    <w:rsid w:val="77A56E63"/>
    <w:rsid w:val="77D9515B"/>
    <w:rsid w:val="78253E58"/>
    <w:rsid w:val="78374554"/>
    <w:rsid w:val="78652F7E"/>
    <w:rsid w:val="790441FA"/>
    <w:rsid w:val="79A612CD"/>
    <w:rsid w:val="79EC3D30"/>
    <w:rsid w:val="7A440E3A"/>
    <w:rsid w:val="7A634C72"/>
    <w:rsid w:val="7AA43AB3"/>
    <w:rsid w:val="7AB435A5"/>
    <w:rsid w:val="7B7A1A30"/>
    <w:rsid w:val="7BAF48F4"/>
    <w:rsid w:val="7BD3700E"/>
    <w:rsid w:val="7C083390"/>
    <w:rsid w:val="7CA12416"/>
    <w:rsid w:val="7D3A7C9B"/>
    <w:rsid w:val="7DE83159"/>
    <w:rsid w:val="7E46423F"/>
    <w:rsid w:val="7E7B0B46"/>
    <w:rsid w:val="7E7D69CA"/>
    <w:rsid w:val="7E972C2F"/>
    <w:rsid w:val="7E9E4F9D"/>
    <w:rsid w:val="7EA93DDB"/>
    <w:rsid w:val="7EF53C16"/>
    <w:rsid w:val="7FA761FA"/>
    <w:rsid w:val="7FBE282B"/>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2638</Words>
  <Characters>2868</Characters>
  <Lines>1</Lines>
  <Paragraphs>1</Paragraphs>
  <TotalTime>11</TotalTime>
  <ScaleCrop>false</ScaleCrop>
  <LinksUpToDate>false</LinksUpToDate>
  <CharactersWithSpaces>2888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dcterms:modified xsi:type="dcterms:W3CDTF">2026-06-10T05:59:01Z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704B028435E14FE7ACEAB29B16CEB9D9_13</vt:lpwstr>
  </property>
</Properties>
</file>