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D7C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大邑县人民医院</w:t>
      </w:r>
    </w:p>
    <w:p w14:paraId="638C6020">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bCs/>
          <w:sz w:val="36"/>
          <w:szCs w:val="36"/>
          <w:vertAlign w:val="baseline"/>
          <w:lang w:val="en-US" w:eastAsia="zh-CN"/>
        </w:rPr>
      </w:pPr>
      <w:r>
        <w:rPr>
          <w:rFonts w:hint="eastAsia" w:ascii="宋体" w:hAnsi="宋体" w:eastAsia="宋体" w:cs="宋体"/>
          <w:b/>
          <w:bCs/>
          <w:sz w:val="36"/>
          <w:szCs w:val="36"/>
          <w:vertAlign w:val="baseline"/>
          <w:lang w:val="en-US" w:eastAsia="zh-CN"/>
        </w:rPr>
        <w:t>矿泉水采购项目（二次）比选</w:t>
      </w:r>
      <w:r>
        <w:rPr>
          <w:rFonts w:hint="eastAsia" w:ascii="宋体" w:hAnsi="宋体" w:eastAsia="宋体" w:cs="宋体"/>
          <w:b/>
          <w:bCs/>
          <w:sz w:val="36"/>
          <w:szCs w:val="36"/>
          <w:vertAlign w:val="baseline"/>
          <w:lang w:eastAsia="zh-CN"/>
        </w:rPr>
        <w:t>文件</w:t>
      </w:r>
    </w:p>
    <w:p w14:paraId="0F3F816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p>
    <w:p w14:paraId="4389F4B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b/>
          <w:bCs/>
          <w:sz w:val="24"/>
          <w:szCs w:val="24"/>
          <w:lang w:val="en-US" w:eastAsia="zh-CN"/>
        </w:rPr>
        <w:t>一、项目名称：</w:t>
      </w:r>
      <w:r>
        <w:rPr>
          <w:rFonts w:hint="eastAsia" w:ascii="宋体" w:hAnsi="宋体" w:eastAsia="宋体" w:cs="宋体"/>
          <w:sz w:val="24"/>
          <w:szCs w:val="24"/>
          <w:u w:val="single"/>
          <w:lang w:val="en-US" w:eastAsia="zh-CN"/>
        </w:rPr>
        <w:t>矿泉水采购项目（二次</w:t>
      </w:r>
      <w:bookmarkStart w:id="2" w:name="_GoBack"/>
      <w:bookmarkEnd w:id="2"/>
      <w:r>
        <w:rPr>
          <w:rFonts w:hint="eastAsia" w:ascii="宋体" w:hAnsi="宋体" w:eastAsia="宋体" w:cs="宋体"/>
          <w:sz w:val="24"/>
          <w:szCs w:val="24"/>
          <w:u w:val="single"/>
          <w:lang w:val="en-US" w:eastAsia="zh-CN"/>
        </w:rPr>
        <w:t>）</w:t>
      </w:r>
    </w:p>
    <w:p w14:paraId="351AD62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default" w:ascii="宋体" w:hAnsi="宋体" w:eastAsia="宋体" w:cs="宋体"/>
          <w:b w:val="0"/>
          <w:bCs w:val="0"/>
          <w:sz w:val="24"/>
          <w:szCs w:val="24"/>
          <w:u w:val="single"/>
          <w:lang w:val="en-US" w:eastAsia="zh-CN"/>
        </w:rPr>
      </w:pPr>
      <w:r>
        <w:rPr>
          <w:rFonts w:hint="eastAsia" w:ascii="宋体" w:hAnsi="宋体" w:eastAsia="宋体" w:cs="宋体"/>
          <w:b/>
          <w:bCs/>
          <w:sz w:val="24"/>
          <w:szCs w:val="24"/>
          <w:lang w:val="en-US" w:eastAsia="zh-CN"/>
        </w:rPr>
        <w:t>二、项目预算：</w:t>
      </w:r>
      <w:r>
        <w:rPr>
          <w:rFonts w:hint="eastAsia" w:ascii="宋体" w:hAnsi="宋体" w:eastAsia="宋体" w:cs="宋体"/>
          <w:sz w:val="24"/>
          <w:szCs w:val="24"/>
          <w:u w:val="single"/>
          <w:lang w:val="en-US" w:eastAsia="zh-CN"/>
        </w:rPr>
        <w:t>4万元，最高单价限价汇总为36.29元。（根据单价据实结算）</w:t>
      </w:r>
    </w:p>
    <w:p w14:paraId="48554D03">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三、产品清单</w:t>
      </w:r>
    </w:p>
    <w:tbl>
      <w:tblPr>
        <w:tblStyle w:val="10"/>
        <w:tblW w:w="9035" w:type="dxa"/>
        <w:tblInd w:w="-244" w:type="dxa"/>
        <w:tblLayout w:type="fixed"/>
        <w:tblCellMar>
          <w:top w:w="0" w:type="dxa"/>
          <w:left w:w="108" w:type="dxa"/>
          <w:bottom w:w="0" w:type="dxa"/>
          <w:right w:w="108" w:type="dxa"/>
        </w:tblCellMar>
      </w:tblPr>
      <w:tblGrid>
        <w:gridCol w:w="1335"/>
        <w:gridCol w:w="1155"/>
        <w:gridCol w:w="1365"/>
        <w:gridCol w:w="1265"/>
        <w:gridCol w:w="1755"/>
        <w:gridCol w:w="2160"/>
      </w:tblGrid>
      <w:tr w14:paraId="023BC8AE">
        <w:trPr>
          <w:trHeight w:val="985"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4AF3D981">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7AA6A52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59BD509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B077E9B">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3315C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单价限价（元）</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A521B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1940DC3D">
        <w:tblPrEx>
          <w:tblCellMar>
            <w:top w:w="0" w:type="dxa"/>
            <w:left w:w="108" w:type="dxa"/>
            <w:bottom w:w="0" w:type="dxa"/>
            <w:right w:w="108" w:type="dxa"/>
          </w:tblCellMar>
        </w:tblPrEx>
        <w:trPr>
          <w:trHeight w:val="624" w:hRule="atLeast"/>
        </w:trPr>
        <w:tc>
          <w:tcPr>
            <w:tcW w:w="13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6DDA1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矿泉水</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6E45497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EFC03A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360ml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0275B1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7ADC956F">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1.39 </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02C27F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bookmarkStart w:id="0" w:name="OLE_LINK1"/>
            <w:r>
              <w:rPr>
                <w:rFonts w:hint="eastAsia" w:ascii="宋体" w:hAnsi="宋体" w:eastAsia="宋体" w:cs="宋体"/>
                <w:sz w:val="24"/>
                <w:szCs w:val="24"/>
                <w:vertAlign w:val="baseline"/>
                <w:lang w:val="en-US" w:eastAsia="zh-CN"/>
              </w:rPr>
              <w:t>根据采购人的需求定制logo</w:t>
            </w:r>
            <w:bookmarkEnd w:id="0"/>
          </w:p>
        </w:tc>
      </w:tr>
      <w:tr w14:paraId="015C7E3E">
        <w:tblPrEx>
          <w:tblCellMar>
            <w:top w:w="0" w:type="dxa"/>
            <w:left w:w="108" w:type="dxa"/>
            <w:bottom w:w="0" w:type="dxa"/>
            <w:right w:w="108" w:type="dxa"/>
          </w:tblCellMar>
        </w:tblPrEx>
        <w:trPr>
          <w:trHeight w:val="624"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27EFB3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664388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72B09E9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550ml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53AECE6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087EB8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1.40</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1268FAB2">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7CAF958E">
        <w:tblPrEx>
          <w:tblCellMar>
            <w:top w:w="0" w:type="dxa"/>
            <w:left w:w="108" w:type="dxa"/>
            <w:bottom w:w="0" w:type="dxa"/>
            <w:right w:w="108" w:type="dxa"/>
          </w:tblCellMar>
        </w:tblPrEx>
        <w:trPr>
          <w:trHeight w:val="71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4371BA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5D685580">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3C86D37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16.8L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609D9B0D">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5498751A">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22.8</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78CCFF2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45601A65">
        <w:tblPrEx>
          <w:tblCellMar>
            <w:top w:w="0" w:type="dxa"/>
            <w:left w:w="108" w:type="dxa"/>
            <w:bottom w:w="0" w:type="dxa"/>
            <w:right w:w="108" w:type="dxa"/>
          </w:tblCellMar>
        </w:tblPrEx>
        <w:trPr>
          <w:trHeight w:val="689" w:hRule="atLeast"/>
        </w:trPr>
        <w:tc>
          <w:tcPr>
            <w:tcW w:w="1335"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132AC76">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155" w:type="dxa"/>
            <w:tcBorders>
              <w:top w:val="single" w:color="auto" w:sz="4" w:space="0"/>
              <w:left w:val="nil"/>
              <w:bottom w:val="single" w:color="auto" w:sz="4" w:space="0"/>
              <w:right w:val="single" w:color="auto" w:sz="4" w:space="0"/>
            </w:tcBorders>
            <w:shd w:val="clear" w:color="000000" w:fill="FFFFFF"/>
            <w:vAlign w:val="center"/>
          </w:tcPr>
          <w:p w14:paraId="307D83CC">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365" w:type="dxa"/>
            <w:tcBorders>
              <w:top w:val="single" w:color="auto" w:sz="4" w:space="0"/>
              <w:left w:val="nil"/>
              <w:bottom w:val="single" w:color="auto" w:sz="4" w:space="0"/>
              <w:right w:val="single" w:color="auto" w:sz="4" w:space="0"/>
            </w:tcBorders>
            <w:shd w:val="clear" w:color="000000" w:fill="FFFFFF"/>
            <w:vAlign w:val="center"/>
          </w:tcPr>
          <w:p w14:paraId="60E42F4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vertAlign w:val="baseline"/>
                <w:lang w:val="en-US" w:eastAsia="zh-CN"/>
              </w:rPr>
              <w:t>6L</w:t>
            </w:r>
          </w:p>
        </w:tc>
        <w:tc>
          <w:tcPr>
            <w:tcW w:w="1265" w:type="dxa"/>
            <w:tcBorders>
              <w:top w:val="single" w:color="auto" w:sz="4" w:space="0"/>
              <w:left w:val="nil"/>
              <w:bottom w:val="single" w:color="auto" w:sz="4" w:space="0"/>
              <w:right w:val="single" w:color="auto" w:sz="4" w:space="0"/>
            </w:tcBorders>
            <w:shd w:val="clear" w:color="000000" w:fill="FFFFFF"/>
            <w:vAlign w:val="center"/>
          </w:tcPr>
          <w:p w14:paraId="0A82D307">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桶</w:t>
            </w:r>
          </w:p>
        </w:tc>
        <w:tc>
          <w:tcPr>
            <w:tcW w:w="1755" w:type="dxa"/>
            <w:tcBorders>
              <w:top w:val="single" w:color="auto" w:sz="4" w:space="0"/>
              <w:left w:val="nil"/>
              <w:bottom w:val="single" w:color="auto" w:sz="4" w:space="0"/>
              <w:right w:val="single" w:color="auto" w:sz="4" w:space="0"/>
            </w:tcBorders>
            <w:shd w:val="clear" w:color="000000" w:fill="FFFFFF"/>
            <w:vAlign w:val="center"/>
          </w:tcPr>
          <w:p w14:paraId="0FAE06E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10.7</w:t>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67E43643">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r w14:paraId="2F2D3DD3">
        <w:tblPrEx>
          <w:tblCellMar>
            <w:top w:w="0" w:type="dxa"/>
            <w:left w:w="108" w:type="dxa"/>
            <w:bottom w:w="0" w:type="dxa"/>
            <w:right w:w="108" w:type="dxa"/>
          </w:tblCellMar>
        </w:tblPrEx>
        <w:trPr>
          <w:trHeight w:val="567" w:hRule="atLeast"/>
        </w:trPr>
        <w:tc>
          <w:tcPr>
            <w:tcW w:w="1335" w:type="dxa"/>
            <w:tcBorders>
              <w:top w:val="single" w:color="auto" w:sz="4" w:space="0"/>
              <w:left w:val="single" w:color="auto" w:sz="4" w:space="0"/>
              <w:bottom w:val="single" w:color="auto" w:sz="4" w:space="0"/>
              <w:right w:val="single" w:color="auto" w:sz="4" w:space="0"/>
            </w:tcBorders>
            <w:shd w:val="clear" w:color="000000" w:fill="FFFFFF"/>
            <w:vAlign w:val="center"/>
          </w:tcPr>
          <w:p w14:paraId="661D36E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单价限价汇总</w:t>
            </w:r>
          </w:p>
        </w:tc>
        <w:tc>
          <w:tcPr>
            <w:tcW w:w="1155" w:type="dxa"/>
            <w:tcBorders>
              <w:top w:val="single" w:color="auto" w:sz="4" w:space="0"/>
              <w:left w:val="nil"/>
              <w:bottom w:val="single" w:color="auto" w:sz="4" w:space="0"/>
              <w:right w:val="single" w:color="auto" w:sz="4" w:space="0"/>
            </w:tcBorders>
            <w:shd w:val="clear" w:color="000000" w:fill="FFFFFF"/>
            <w:vAlign w:val="center"/>
          </w:tcPr>
          <w:p w14:paraId="1BBF2D3E">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365" w:type="dxa"/>
            <w:tcBorders>
              <w:top w:val="single" w:color="auto" w:sz="4" w:space="0"/>
              <w:left w:val="nil"/>
              <w:bottom w:val="single" w:color="auto" w:sz="4" w:space="0"/>
              <w:right w:val="single" w:color="auto" w:sz="4" w:space="0"/>
            </w:tcBorders>
            <w:shd w:val="clear" w:color="000000" w:fill="FFFFFF"/>
            <w:vAlign w:val="center"/>
          </w:tcPr>
          <w:p w14:paraId="3F1F1E48">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sz w:val="24"/>
                <w:szCs w:val="24"/>
                <w:vertAlign w:val="baseline"/>
                <w:lang w:val="en-US" w:eastAsia="zh-CN"/>
              </w:rPr>
            </w:pPr>
          </w:p>
        </w:tc>
        <w:tc>
          <w:tcPr>
            <w:tcW w:w="1265" w:type="dxa"/>
            <w:tcBorders>
              <w:top w:val="single" w:color="auto" w:sz="4" w:space="0"/>
              <w:left w:val="nil"/>
              <w:bottom w:val="single" w:color="auto" w:sz="4" w:space="0"/>
              <w:right w:val="single" w:color="auto" w:sz="4" w:space="0"/>
            </w:tcBorders>
            <w:shd w:val="clear" w:color="000000" w:fill="FFFFFF"/>
            <w:vAlign w:val="center"/>
          </w:tcPr>
          <w:p w14:paraId="30BEE2E4">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c>
          <w:tcPr>
            <w:tcW w:w="1755" w:type="dxa"/>
            <w:tcBorders>
              <w:top w:val="single" w:color="auto" w:sz="4" w:space="0"/>
              <w:left w:val="nil"/>
              <w:bottom w:val="single" w:color="auto" w:sz="4" w:space="0"/>
              <w:right w:val="single" w:color="auto" w:sz="4" w:space="0"/>
            </w:tcBorders>
            <w:shd w:val="clear" w:color="000000" w:fill="FFFFFF"/>
            <w:vAlign w:val="center"/>
          </w:tcPr>
          <w:p w14:paraId="3CD70AF5">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fldChar w:fldCharType="begin"/>
            </w:r>
            <w:r>
              <w:rPr>
                <w:rFonts w:hint="eastAsia" w:ascii="宋体" w:hAnsi="宋体" w:eastAsia="宋体" w:cs="宋体"/>
                <w:b w:val="0"/>
                <w:bCs w:val="0"/>
                <w:sz w:val="24"/>
                <w:szCs w:val="24"/>
                <w:vertAlign w:val="baseline"/>
                <w:lang w:val="en-US" w:eastAsia="zh-CN"/>
              </w:rPr>
              <w:instrText xml:space="preserve"> = sum(E2:E5) \* MERGEFORMAT </w:instrText>
            </w:r>
            <w:r>
              <w:rPr>
                <w:rFonts w:hint="eastAsia" w:ascii="宋体" w:hAnsi="宋体" w:eastAsia="宋体" w:cs="宋体"/>
                <w:b w:val="0"/>
                <w:bCs w:val="0"/>
                <w:sz w:val="24"/>
                <w:szCs w:val="24"/>
                <w:vertAlign w:val="baseline"/>
                <w:lang w:val="en-US" w:eastAsia="zh-CN"/>
              </w:rPr>
              <w:fldChar w:fldCharType="separate"/>
            </w:r>
            <w:r>
              <w:rPr>
                <w:rFonts w:hint="eastAsia" w:ascii="宋体" w:hAnsi="宋体" w:eastAsia="宋体" w:cs="宋体"/>
                <w:b w:val="0"/>
                <w:bCs w:val="0"/>
                <w:sz w:val="24"/>
                <w:szCs w:val="24"/>
                <w:vertAlign w:val="baseline"/>
                <w:lang w:val="en-US" w:eastAsia="zh-CN"/>
              </w:rPr>
              <w:t>36.29</w:t>
            </w:r>
            <w:r>
              <w:rPr>
                <w:rFonts w:hint="eastAsia" w:ascii="宋体" w:hAnsi="宋体" w:eastAsia="宋体" w:cs="宋体"/>
                <w:b w:val="0"/>
                <w:bCs w:val="0"/>
                <w:sz w:val="24"/>
                <w:szCs w:val="24"/>
                <w:vertAlign w:val="baseline"/>
                <w:lang w:val="en-US" w:eastAsia="zh-CN"/>
              </w:rPr>
              <w:fldChar w:fldCharType="end"/>
            </w:r>
          </w:p>
        </w:tc>
        <w:tc>
          <w:tcPr>
            <w:tcW w:w="2160" w:type="dxa"/>
            <w:tcBorders>
              <w:top w:val="single" w:color="auto" w:sz="4" w:space="0"/>
              <w:left w:val="nil"/>
              <w:bottom w:val="single" w:color="auto" w:sz="4" w:space="0"/>
              <w:right w:val="single" w:color="auto" w:sz="4" w:space="0"/>
            </w:tcBorders>
            <w:shd w:val="clear" w:color="000000" w:fill="FFFFFF"/>
            <w:vAlign w:val="center"/>
          </w:tcPr>
          <w:p w14:paraId="289B1E89">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val="0"/>
                <w:bCs w:val="0"/>
                <w:sz w:val="24"/>
                <w:szCs w:val="24"/>
                <w:vertAlign w:val="baseline"/>
                <w:lang w:val="en-US" w:eastAsia="zh-CN"/>
              </w:rPr>
            </w:pPr>
          </w:p>
        </w:tc>
      </w:tr>
    </w:tbl>
    <w:p w14:paraId="054374B8">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0"/>
          <w:sz w:val="24"/>
          <w:lang w:val="en-US" w:eastAsia="zh-CN"/>
        </w:rPr>
      </w:pPr>
    </w:p>
    <w:p w14:paraId="4CDAE94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sz w:val="24"/>
          <w:lang w:val="en-US" w:eastAsia="zh-CN"/>
        </w:rPr>
      </w:pPr>
      <w:r>
        <w:rPr>
          <w:rFonts w:ascii="宋体" w:hAnsi="宋体" w:eastAsia="宋体" w:cs="黑体"/>
          <w:color w:val="000000"/>
          <w:kern w:val="0"/>
          <w:sz w:val="21"/>
          <w:szCs w:val="21"/>
        </w:rPr>
        <w:t>▲</w:t>
      </w:r>
      <w:r>
        <w:rPr>
          <w:rFonts w:hint="eastAsia" w:ascii="宋体" w:hAnsi="宋体" w:eastAsia="宋体" w:cs="宋体"/>
          <w:b/>
          <w:sz w:val="24"/>
          <w:lang w:val="en-US" w:eastAsia="zh-CN"/>
        </w:rPr>
        <w:t>四、技术要求</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010"/>
        <w:gridCol w:w="2595"/>
        <w:gridCol w:w="3432"/>
      </w:tblGrid>
      <w:tr w14:paraId="10EE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vAlign w:val="center"/>
          </w:tcPr>
          <w:p w14:paraId="7CA638F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010" w:type="dxa"/>
            <w:vAlign w:val="center"/>
          </w:tcPr>
          <w:p w14:paraId="77718F9F">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成分</w:t>
            </w:r>
          </w:p>
        </w:tc>
        <w:tc>
          <w:tcPr>
            <w:tcW w:w="2595" w:type="dxa"/>
            <w:vAlign w:val="center"/>
          </w:tcPr>
          <w:p w14:paraId="1521450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3432" w:type="dxa"/>
            <w:vAlign w:val="center"/>
          </w:tcPr>
          <w:p w14:paraId="46A9EC4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r>
      <w:tr w14:paraId="6397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BA28F4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2010" w:type="dxa"/>
            <w:vAlign w:val="center"/>
          </w:tcPr>
          <w:p w14:paraId="2817147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色度</w:t>
            </w:r>
          </w:p>
        </w:tc>
        <w:tc>
          <w:tcPr>
            <w:tcW w:w="2595" w:type="dxa"/>
            <w:vAlign w:val="center"/>
          </w:tcPr>
          <w:p w14:paraId="4BAC3B24">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度</w:t>
            </w:r>
          </w:p>
        </w:tc>
        <w:tc>
          <w:tcPr>
            <w:tcW w:w="3432" w:type="dxa"/>
            <w:vAlign w:val="center"/>
          </w:tcPr>
          <w:p w14:paraId="7A55102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≤10，并不得呈现其他异色</w:t>
            </w:r>
          </w:p>
        </w:tc>
      </w:tr>
      <w:tr w14:paraId="2848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65CC43B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2010" w:type="dxa"/>
            <w:vAlign w:val="center"/>
          </w:tcPr>
          <w:p w14:paraId="72921E1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浑浊度</w:t>
            </w:r>
          </w:p>
        </w:tc>
        <w:tc>
          <w:tcPr>
            <w:tcW w:w="2595" w:type="dxa"/>
            <w:vAlign w:val="center"/>
          </w:tcPr>
          <w:p w14:paraId="5E562A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NTU</w:t>
            </w:r>
          </w:p>
        </w:tc>
        <w:tc>
          <w:tcPr>
            <w:tcW w:w="3432" w:type="dxa"/>
            <w:vAlign w:val="center"/>
          </w:tcPr>
          <w:p w14:paraId="2557D7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r>
      <w:tr w14:paraId="794D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41AB32E">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3</w:t>
            </w:r>
          </w:p>
        </w:tc>
        <w:tc>
          <w:tcPr>
            <w:tcW w:w="2010" w:type="dxa"/>
            <w:vAlign w:val="center"/>
          </w:tcPr>
          <w:p w14:paraId="41CFA96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嗅和味</w:t>
            </w:r>
          </w:p>
        </w:tc>
        <w:tc>
          <w:tcPr>
            <w:tcW w:w="2595" w:type="dxa"/>
            <w:vAlign w:val="center"/>
          </w:tcPr>
          <w:p w14:paraId="315C64B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31A40298">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不得有异臭、异味</w:t>
            </w:r>
          </w:p>
        </w:tc>
      </w:tr>
      <w:tr w14:paraId="205A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5F02A27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4</w:t>
            </w:r>
          </w:p>
        </w:tc>
        <w:tc>
          <w:tcPr>
            <w:tcW w:w="2010" w:type="dxa"/>
            <w:vAlign w:val="center"/>
          </w:tcPr>
          <w:p w14:paraId="369D42E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肉眼可见物</w:t>
            </w:r>
          </w:p>
        </w:tc>
        <w:tc>
          <w:tcPr>
            <w:tcW w:w="2595" w:type="dxa"/>
            <w:vAlign w:val="center"/>
          </w:tcPr>
          <w:p w14:paraId="5BDEC95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3432" w:type="dxa"/>
            <w:vAlign w:val="center"/>
          </w:tcPr>
          <w:p w14:paraId="213443B1">
            <w:pPr>
              <w:keepNext w:val="0"/>
              <w:keepLines w:val="0"/>
              <w:widowControl/>
              <w:suppressLineNumbers w:val="0"/>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不得检出</w:t>
            </w:r>
          </w:p>
        </w:tc>
      </w:tr>
      <w:tr w14:paraId="1B92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7EAA4095">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5</w:t>
            </w:r>
          </w:p>
        </w:tc>
        <w:tc>
          <w:tcPr>
            <w:tcW w:w="2010" w:type="dxa"/>
            <w:shd w:val="clear" w:color="auto" w:fill="auto"/>
            <w:vAlign w:val="center"/>
          </w:tcPr>
          <w:p w14:paraId="05C854CD">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钾</w:t>
            </w:r>
          </w:p>
        </w:tc>
        <w:tc>
          <w:tcPr>
            <w:tcW w:w="2595" w:type="dxa"/>
            <w:shd w:val="clear" w:color="auto" w:fill="auto"/>
            <w:vAlign w:val="center"/>
          </w:tcPr>
          <w:p w14:paraId="007DEA17">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15150F70">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≥0.1</w:t>
            </w:r>
          </w:p>
        </w:tc>
      </w:tr>
      <w:tr w14:paraId="2FF6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12" w:type="dxa"/>
            <w:shd w:val="clear" w:color="auto" w:fill="auto"/>
            <w:vAlign w:val="center"/>
          </w:tcPr>
          <w:p w14:paraId="0F278DC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6</w:t>
            </w:r>
          </w:p>
        </w:tc>
        <w:tc>
          <w:tcPr>
            <w:tcW w:w="2010" w:type="dxa"/>
            <w:shd w:val="clear" w:color="auto" w:fill="auto"/>
            <w:vAlign w:val="center"/>
          </w:tcPr>
          <w:p w14:paraId="68C5A01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钠</w:t>
            </w:r>
          </w:p>
        </w:tc>
        <w:tc>
          <w:tcPr>
            <w:tcW w:w="2595" w:type="dxa"/>
            <w:shd w:val="clear" w:color="auto" w:fill="auto"/>
            <w:vAlign w:val="center"/>
          </w:tcPr>
          <w:p w14:paraId="3DDD7D3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55D487C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≥0.1</w:t>
            </w:r>
          </w:p>
        </w:tc>
      </w:tr>
      <w:tr w14:paraId="184F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01A560E3">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7</w:t>
            </w:r>
          </w:p>
        </w:tc>
        <w:tc>
          <w:tcPr>
            <w:tcW w:w="2010" w:type="dxa"/>
            <w:shd w:val="clear" w:color="auto" w:fill="auto"/>
            <w:vAlign w:val="center"/>
          </w:tcPr>
          <w:p w14:paraId="15C0649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钙</w:t>
            </w:r>
          </w:p>
        </w:tc>
        <w:tc>
          <w:tcPr>
            <w:tcW w:w="2595" w:type="dxa"/>
            <w:shd w:val="clear" w:color="auto" w:fill="auto"/>
            <w:vAlign w:val="center"/>
          </w:tcPr>
          <w:p w14:paraId="58937D8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7328A2B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≥4.0</w:t>
            </w:r>
          </w:p>
        </w:tc>
      </w:tr>
      <w:tr w14:paraId="37F3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5F4A9B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8</w:t>
            </w:r>
          </w:p>
        </w:tc>
        <w:tc>
          <w:tcPr>
            <w:tcW w:w="2010" w:type="dxa"/>
            <w:shd w:val="clear" w:color="auto" w:fill="auto"/>
            <w:vAlign w:val="center"/>
          </w:tcPr>
          <w:p w14:paraId="2D3AFB4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镁</w:t>
            </w:r>
          </w:p>
        </w:tc>
        <w:tc>
          <w:tcPr>
            <w:tcW w:w="2595" w:type="dxa"/>
            <w:shd w:val="clear" w:color="auto" w:fill="auto"/>
            <w:vAlign w:val="center"/>
          </w:tcPr>
          <w:p w14:paraId="7AF031A0">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B1C7AE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≥0.5</w:t>
            </w:r>
          </w:p>
        </w:tc>
      </w:tr>
      <w:tr w14:paraId="292B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60E82F4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w:t>
            </w:r>
          </w:p>
        </w:tc>
        <w:tc>
          <w:tcPr>
            <w:tcW w:w="2010" w:type="dxa"/>
            <w:shd w:val="clear" w:color="auto" w:fill="auto"/>
            <w:vAlign w:val="center"/>
          </w:tcPr>
          <w:p w14:paraId="10174EB4">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锶</w:t>
            </w:r>
          </w:p>
        </w:tc>
        <w:tc>
          <w:tcPr>
            <w:tcW w:w="2595" w:type="dxa"/>
            <w:shd w:val="clear" w:color="auto" w:fill="auto"/>
            <w:vAlign w:val="center"/>
          </w:tcPr>
          <w:p w14:paraId="04CCB112">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1274D81B">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≥0.2</w:t>
            </w:r>
          </w:p>
        </w:tc>
      </w:tr>
      <w:tr w14:paraId="4F1A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FACBD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10</w:t>
            </w:r>
          </w:p>
        </w:tc>
        <w:tc>
          <w:tcPr>
            <w:tcW w:w="2010" w:type="dxa"/>
            <w:shd w:val="clear" w:color="auto" w:fill="auto"/>
            <w:vAlign w:val="center"/>
          </w:tcPr>
          <w:p w14:paraId="7E495F51">
            <w:pPr>
              <w:pStyle w:val="2"/>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偏硅酸</w:t>
            </w:r>
          </w:p>
        </w:tc>
        <w:tc>
          <w:tcPr>
            <w:tcW w:w="2595" w:type="dxa"/>
            <w:shd w:val="clear" w:color="auto" w:fill="auto"/>
            <w:vAlign w:val="center"/>
          </w:tcPr>
          <w:p w14:paraId="2642A450">
            <w:pPr>
              <w:widowControl w:val="0"/>
              <w:jc w:val="center"/>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mg/L</w:t>
            </w:r>
          </w:p>
        </w:tc>
        <w:tc>
          <w:tcPr>
            <w:tcW w:w="3432" w:type="dxa"/>
            <w:shd w:val="clear" w:color="auto" w:fill="auto"/>
            <w:vAlign w:val="center"/>
          </w:tcPr>
          <w:p w14:paraId="59CFA95C">
            <w:pPr>
              <w:keepNext w:val="0"/>
              <w:keepLines w:val="0"/>
              <w:widowControl/>
              <w:suppressLineNumbers w:val="0"/>
              <w:jc w:val="center"/>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0"/>
                <w:sz w:val="24"/>
                <w:szCs w:val="24"/>
                <w:lang w:val="en-US" w:eastAsia="zh-CN" w:bidi="ar"/>
              </w:rPr>
              <w:t>≥2.0</w:t>
            </w:r>
          </w:p>
        </w:tc>
      </w:tr>
      <w:tr w14:paraId="0A9C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63D854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11</w:t>
            </w:r>
          </w:p>
        </w:tc>
        <w:tc>
          <w:tcPr>
            <w:tcW w:w="2010" w:type="dxa"/>
            <w:shd w:val="clear" w:color="auto" w:fill="auto"/>
            <w:vAlign w:val="center"/>
          </w:tcPr>
          <w:p w14:paraId="488BD2F9">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亚硝酸盐（NO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2C1CA73A">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B5B5804">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≤0.005</w:t>
            </w:r>
          </w:p>
        </w:tc>
      </w:tr>
      <w:tr w14:paraId="176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2A1FD4D">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12</w:t>
            </w:r>
          </w:p>
        </w:tc>
        <w:tc>
          <w:tcPr>
            <w:tcW w:w="2010" w:type="dxa"/>
            <w:shd w:val="clear" w:color="auto" w:fill="auto"/>
            <w:vAlign w:val="center"/>
          </w:tcPr>
          <w:p w14:paraId="36458540">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耗氧量（以O</w:t>
            </w:r>
            <w:r>
              <w:rPr>
                <w:rFonts w:hint="eastAsia" w:ascii="宋体" w:hAnsi="宋体" w:eastAsia="宋体" w:cs="宋体"/>
                <w:sz w:val="24"/>
                <w:szCs w:val="24"/>
                <w:vertAlign w:val="subscript"/>
                <w:lang w:val="en-US" w:eastAsia="zh-CN"/>
              </w:rPr>
              <w:t>2</w:t>
            </w:r>
            <w:r>
              <w:rPr>
                <w:rFonts w:hint="eastAsia" w:ascii="宋体" w:hAnsi="宋体" w:eastAsia="宋体" w:cs="宋体"/>
                <w:sz w:val="24"/>
                <w:szCs w:val="24"/>
                <w:vertAlign w:val="baseline"/>
                <w:lang w:val="en-US" w:eastAsia="zh-CN"/>
              </w:rPr>
              <w:t>计）</w:t>
            </w:r>
          </w:p>
        </w:tc>
        <w:tc>
          <w:tcPr>
            <w:tcW w:w="2595" w:type="dxa"/>
            <w:shd w:val="clear" w:color="auto" w:fill="auto"/>
            <w:vAlign w:val="center"/>
          </w:tcPr>
          <w:p w14:paraId="4D7B30F4">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DFA4D37">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≤2.0</w:t>
            </w:r>
          </w:p>
        </w:tc>
      </w:tr>
      <w:tr w14:paraId="701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4F31B87B">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13</w:t>
            </w:r>
          </w:p>
        </w:tc>
        <w:tc>
          <w:tcPr>
            <w:tcW w:w="2010" w:type="dxa"/>
            <w:shd w:val="clear" w:color="auto" w:fill="auto"/>
            <w:vAlign w:val="center"/>
          </w:tcPr>
          <w:p w14:paraId="6C9809C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总砷（以As计）</w:t>
            </w:r>
          </w:p>
        </w:tc>
        <w:tc>
          <w:tcPr>
            <w:tcW w:w="2595" w:type="dxa"/>
            <w:shd w:val="clear" w:color="auto" w:fill="auto"/>
            <w:vAlign w:val="center"/>
          </w:tcPr>
          <w:p w14:paraId="03220DA8">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6404EB4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078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19A2C70F">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w:t>
            </w:r>
          </w:p>
        </w:tc>
        <w:tc>
          <w:tcPr>
            <w:tcW w:w="2010" w:type="dxa"/>
            <w:shd w:val="clear" w:color="auto" w:fill="auto"/>
            <w:vAlign w:val="center"/>
          </w:tcPr>
          <w:p w14:paraId="14DA9D77">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铅（以Pb计）</w:t>
            </w:r>
          </w:p>
        </w:tc>
        <w:tc>
          <w:tcPr>
            <w:tcW w:w="2595" w:type="dxa"/>
            <w:shd w:val="clear" w:color="auto" w:fill="auto"/>
            <w:vAlign w:val="center"/>
          </w:tcPr>
          <w:p w14:paraId="06FC1005">
            <w:pPr>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4925B7B2">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≤0.01</w:t>
            </w:r>
          </w:p>
        </w:tc>
      </w:tr>
      <w:tr w14:paraId="63FE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588A1EC8">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15</w:t>
            </w:r>
          </w:p>
        </w:tc>
        <w:tc>
          <w:tcPr>
            <w:tcW w:w="2010" w:type="dxa"/>
            <w:shd w:val="clear" w:color="auto" w:fill="auto"/>
            <w:vAlign w:val="center"/>
          </w:tcPr>
          <w:p w14:paraId="3BEF33B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镉（以Cd计）</w:t>
            </w:r>
          </w:p>
        </w:tc>
        <w:tc>
          <w:tcPr>
            <w:tcW w:w="2595" w:type="dxa"/>
            <w:shd w:val="clear" w:color="auto" w:fill="auto"/>
            <w:vAlign w:val="center"/>
          </w:tcPr>
          <w:p w14:paraId="6419B1FC">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mg/L</w:t>
            </w:r>
          </w:p>
        </w:tc>
        <w:tc>
          <w:tcPr>
            <w:tcW w:w="3432" w:type="dxa"/>
            <w:shd w:val="clear" w:color="auto" w:fill="auto"/>
            <w:vAlign w:val="center"/>
          </w:tcPr>
          <w:p w14:paraId="3A279E69">
            <w:pPr>
              <w:keepNext w:val="0"/>
              <w:keepLines w:val="0"/>
              <w:widowControl/>
              <w:suppressLineNumbers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color w:val="000000"/>
                <w:kern w:val="0"/>
                <w:sz w:val="24"/>
                <w:szCs w:val="24"/>
                <w:lang w:val="en-US" w:eastAsia="zh-CN" w:bidi="ar"/>
              </w:rPr>
              <w:t>≤0.004</w:t>
            </w:r>
          </w:p>
        </w:tc>
      </w:tr>
      <w:tr w14:paraId="2FEB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17073A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16</w:t>
            </w:r>
          </w:p>
        </w:tc>
        <w:tc>
          <w:tcPr>
            <w:tcW w:w="2010" w:type="dxa"/>
            <w:shd w:val="clear" w:color="auto" w:fill="auto"/>
            <w:vAlign w:val="center"/>
          </w:tcPr>
          <w:p w14:paraId="098B04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铜（以Cu计）</w:t>
            </w:r>
          </w:p>
        </w:tc>
        <w:tc>
          <w:tcPr>
            <w:tcW w:w="2595" w:type="dxa"/>
            <w:vAlign w:val="center"/>
          </w:tcPr>
          <w:p w14:paraId="57848A04">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4FCF974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≤1.0</w:t>
            </w:r>
          </w:p>
        </w:tc>
      </w:tr>
      <w:tr w14:paraId="588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7A91FF86">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17</w:t>
            </w:r>
          </w:p>
        </w:tc>
        <w:tc>
          <w:tcPr>
            <w:tcW w:w="2010" w:type="dxa"/>
            <w:shd w:val="clear" w:color="auto" w:fill="auto"/>
            <w:vAlign w:val="center"/>
          </w:tcPr>
          <w:p w14:paraId="2D479887">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余氯（游离氯）</w:t>
            </w:r>
          </w:p>
        </w:tc>
        <w:tc>
          <w:tcPr>
            <w:tcW w:w="2595" w:type="dxa"/>
            <w:vAlign w:val="center"/>
          </w:tcPr>
          <w:p w14:paraId="710D33FE">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341F3F71">
            <w:pPr>
              <w:keepNext w:val="0"/>
              <w:keepLines w:val="0"/>
              <w:widowControl/>
              <w:suppressLineNumbers w:val="0"/>
              <w:jc w:val="center"/>
              <w:rPr>
                <w:rFonts w:hint="eastAsia" w:ascii="宋体" w:hAnsi="宋体" w:eastAsia="宋体" w:cs="宋体"/>
                <w:sz w:val="24"/>
                <w:szCs w:val="24"/>
                <w:vertAlign w:val="baseline"/>
                <w:lang w:val="en-US"/>
              </w:rPr>
            </w:pPr>
            <w:r>
              <w:rPr>
                <w:rFonts w:hint="eastAsia" w:ascii="宋体" w:hAnsi="宋体" w:eastAsia="宋体" w:cs="宋体"/>
                <w:color w:val="000000"/>
                <w:kern w:val="0"/>
                <w:sz w:val="24"/>
                <w:szCs w:val="24"/>
                <w:lang w:val="en-US" w:eastAsia="zh-CN" w:bidi="ar"/>
              </w:rPr>
              <w:t>≤0.05</w:t>
            </w:r>
          </w:p>
        </w:tc>
      </w:tr>
      <w:tr w14:paraId="6B6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shd w:val="clear" w:color="auto" w:fill="auto"/>
            <w:vAlign w:val="center"/>
          </w:tcPr>
          <w:p w14:paraId="2A55B782">
            <w:pPr>
              <w:pStyle w:val="2"/>
              <w:widowControl w:val="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18</w:t>
            </w:r>
          </w:p>
        </w:tc>
        <w:tc>
          <w:tcPr>
            <w:tcW w:w="2010" w:type="dxa"/>
            <w:vAlign w:val="center"/>
          </w:tcPr>
          <w:p w14:paraId="6ABC1F6A">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四氯化碳</w:t>
            </w:r>
          </w:p>
        </w:tc>
        <w:tc>
          <w:tcPr>
            <w:tcW w:w="2595" w:type="dxa"/>
            <w:vAlign w:val="center"/>
          </w:tcPr>
          <w:p w14:paraId="2ED1D7B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7D313CF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≤0.002</w:t>
            </w:r>
          </w:p>
        </w:tc>
      </w:tr>
      <w:tr w14:paraId="505D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83814B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2010" w:type="dxa"/>
            <w:vAlign w:val="center"/>
          </w:tcPr>
          <w:p w14:paraId="79CAA025">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三氯甲烷</w:t>
            </w:r>
          </w:p>
        </w:tc>
        <w:tc>
          <w:tcPr>
            <w:tcW w:w="2595" w:type="dxa"/>
            <w:vAlign w:val="center"/>
          </w:tcPr>
          <w:p w14:paraId="2421B343">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5E4862B">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≤0.02</w:t>
            </w:r>
          </w:p>
        </w:tc>
      </w:tr>
      <w:tr w14:paraId="4D4D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316624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2010" w:type="dxa"/>
            <w:vAlign w:val="center"/>
          </w:tcPr>
          <w:p w14:paraId="6942F3C2">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溴酸盐</w:t>
            </w:r>
          </w:p>
        </w:tc>
        <w:tc>
          <w:tcPr>
            <w:tcW w:w="2595" w:type="dxa"/>
            <w:vAlign w:val="center"/>
          </w:tcPr>
          <w:p w14:paraId="55E5A4B7">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17255A67">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≤0.01</w:t>
            </w:r>
          </w:p>
        </w:tc>
      </w:tr>
      <w:tr w14:paraId="3005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61D2B61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2010" w:type="dxa"/>
            <w:vAlign w:val="center"/>
          </w:tcPr>
          <w:p w14:paraId="3F714A63">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阴离子合成洗涤剂</w:t>
            </w:r>
          </w:p>
        </w:tc>
        <w:tc>
          <w:tcPr>
            <w:tcW w:w="2595" w:type="dxa"/>
            <w:vAlign w:val="center"/>
          </w:tcPr>
          <w:p w14:paraId="07A0E78F">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mg/L</w:t>
            </w:r>
          </w:p>
        </w:tc>
        <w:tc>
          <w:tcPr>
            <w:tcW w:w="3432" w:type="dxa"/>
            <w:vAlign w:val="center"/>
          </w:tcPr>
          <w:p w14:paraId="0240FE12">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≤0.3</w:t>
            </w:r>
          </w:p>
        </w:tc>
      </w:tr>
      <w:tr w14:paraId="0ABD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7C08386">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2010" w:type="dxa"/>
            <w:vAlign w:val="center"/>
          </w:tcPr>
          <w:p w14:paraId="348B12D1">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大肠菌群</w:t>
            </w:r>
          </w:p>
        </w:tc>
        <w:tc>
          <w:tcPr>
            <w:tcW w:w="2595" w:type="dxa"/>
            <w:vAlign w:val="center"/>
          </w:tcPr>
          <w:p w14:paraId="05F4EA1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CFU/mL</w:t>
            </w:r>
          </w:p>
        </w:tc>
        <w:tc>
          <w:tcPr>
            <w:tcW w:w="3432" w:type="dxa"/>
            <w:vAlign w:val="center"/>
          </w:tcPr>
          <w:p w14:paraId="1F872790">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084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529B133D">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2010" w:type="dxa"/>
            <w:vAlign w:val="center"/>
          </w:tcPr>
          <w:p w14:paraId="5B6E5CFE">
            <w:pPr>
              <w:pStyle w:val="2"/>
              <w:widowControl w:val="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铜绿假单胞菌</w:t>
            </w:r>
          </w:p>
        </w:tc>
        <w:tc>
          <w:tcPr>
            <w:tcW w:w="2595" w:type="dxa"/>
            <w:vAlign w:val="center"/>
          </w:tcPr>
          <w:p w14:paraId="67DD96F6">
            <w:pPr>
              <w:widowControl w:val="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CFU/250mL</w:t>
            </w:r>
          </w:p>
        </w:tc>
        <w:tc>
          <w:tcPr>
            <w:tcW w:w="3432" w:type="dxa"/>
            <w:vAlign w:val="center"/>
          </w:tcPr>
          <w:p w14:paraId="70F12168">
            <w:pPr>
              <w:keepNext w:val="0"/>
              <w:keepLines w:val="0"/>
              <w:widowControl/>
              <w:suppressLineNumbers w:val="0"/>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val="en-US" w:eastAsia="zh-CN" w:bidi="ar"/>
              </w:rPr>
              <w:t>n=5，c=0，m=0</w:t>
            </w:r>
          </w:p>
        </w:tc>
      </w:tr>
      <w:tr w14:paraId="46CA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158477F4">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24</w:t>
            </w:r>
          </w:p>
        </w:tc>
        <w:tc>
          <w:tcPr>
            <w:tcW w:w="2010" w:type="dxa"/>
            <w:vAlign w:val="center"/>
          </w:tcPr>
          <w:p w14:paraId="10D5CBF3">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标识要求</w:t>
            </w:r>
          </w:p>
        </w:tc>
        <w:tc>
          <w:tcPr>
            <w:tcW w:w="2595" w:type="dxa"/>
            <w:vAlign w:val="center"/>
          </w:tcPr>
          <w:p w14:paraId="7C9D200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0906BBCD">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瓶底须标注材质号“PET”或“1”（回收标识）</w:t>
            </w:r>
          </w:p>
        </w:tc>
      </w:tr>
      <w:tr w14:paraId="7AA1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12" w:type="dxa"/>
            <w:vAlign w:val="center"/>
          </w:tcPr>
          <w:p w14:paraId="4A13B15C">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25</w:t>
            </w:r>
          </w:p>
        </w:tc>
        <w:tc>
          <w:tcPr>
            <w:tcW w:w="2010" w:type="dxa"/>
            <w:vAlign w:val="center"/>
          </w:tcPr>
          <w:p w14:paraId="3C75B68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瓶身材质</w:t>
            </w:r>
          </w:p>
        </w:tc>
        <w:tc>
          <w:tcPr>
            <w:tcW w:w="2595" w:type="dxa"/>
            <w:vAlign w:val="center"/>
          </w:tcPr>
          <w:p w14:paraId="637AC24A">
            <w:pPr>
              <w:pStyle w:val="2"/>
              <w:widowControl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3432" w:type="dxa"/>
            <w:vAlign w:val="center"/>
          </w:tcPr>
          <w:p w14:paraId="62A9FF06">
            <w:pPr>
              <w:pStyle w:val="2"/>
              <w:widowControl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食品接触用特定塑料（PET）容器</w:t>
            </w:r>
          </w:p>
        </w:tc>
      </w:tr>
    </w:tbl>
    <w:p w14:paraId="2557FE5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b/>
          <w:bCs/>
          <w:sz w:val="24"/>
          <w:lang w:val="en-US" w:eastAsia="zh-CN"/>
        </w:rPr>
      </w:pPr>
    </w:p>
    <w:p w14:paraId="5A73245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五、申请人参加本次比选活动，应当具备下列条件：</w:t>
      </w:r>
    </w:p>
    <w:p w14:paraId="4F0BA98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658B984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6565E6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3B20C9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4.具有依法缴纳税收和社会保障资金的良好记录；</w:t>
      </w:r>
    </w:p>
    <w:p w14:paraId="442EE1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5.参加本次比选活动前三年内，在经营活动中没有重大违法记录；未处于财产被接管、冻结、破产状态，未处于有关行政处罚期间，未处于投标禁入期内。</w:t>
      </w:r>
    </w:p>
    <w:p w14:paraId="4408736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6.法律、行政法规规定的其他条件：</w:t>
      </w:r>
    </w:p>
    <w:p w14:paraId="043EAB9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6.1单位负责人为同一人或者存在直接控股、管理关系的不同比选申请人，不得参加同一合同项下的比选活动。</w:t>
      </w:r>
    </w:p>
    <w:p w14:paraId="4A2AD9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6.2供应商单位及其法定代表人、主要负责人不得具有行贿犯罪记录。</w:t>
      </w:r>
    </w:p>
    <w:p w14:paraId="448C044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6.3拒绝列入失信被执行人、重大税收违法案件当事人名单、政府采购严重违法失信行为记录名单的比选申请人参加本次比选活动；</w:t>
      </w:r>
    </w:p>
    <w:p w14:paraId="14B6F85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7.本项目不接受联合体参加比选。</w:t>
      </w:r>
    </w:p>
    <w:p w14:paraId="20214A89">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sz w:val="24"/>
          <w:szCs w:val="24"/>
          <w:lang w:eastAsia="zh-CN"/>
        </w:rPr>
      </w:pPr>
      <w:r>
        <w:rPr>
          <w:rFonts w:hint="eastAsia" w:ascii="宋体" w:hAnsi="宋体" w:eastAsia="宋体" w:cs="宋体"/>
          <w:kern w:val="0"/>
          <w:sz w:val="24"/>
          <w:lang w:val="en-US"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商务要求</w:t>
      </w:r>
    </w:p>
    <w:p w14:paraId="6844256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1.服务地点：大邑县人民医院（所有院区）。</w:t>
      </w:r>
    </w:p>
    <w:p w14:paraId="08FFDEC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2"/>
        </w:rPr>
      </w:pPr>
      <w:r>
        <w:rPr>
          <w:rFonts w:hint="eastAsia" w:ascii="??" w:hAnsi="??" w:cs="??"/>
          <w:bCs/>
          <w:sz w:val="24"/>
          <w:szCs w:val="22"/>
          <w:lang w:val="en-US" w:eastAsia="zh-CN"/>
        </w:rPr>
        <w:t>2</w:t>
      </w:r>
      <w:r>
        <w:rPr>
          <w:rFonts w:ascii="??" w:hAnsi="??" w:cs="??"/>
          <w:bCs/>
          <w:sz w:val="24"/>
          <w:szCs w:val="22"/>
        </w:rPr>
        <w:t>.</w:t>
      </w:r>
      <w:r>
        <w:rPr>
          <w:rFonts w:hint="eastAsia" w:ascii="宋体" w:hAnsi="宋体" w:eastAsia="宋体" w:cs="宋体"/>
          <w:bCs/>
          <w:sz w:val="24"/>
          <w:szCs w:val="22"/>
        </w:rPr>
        <w:t>付款方法和条件：</w:t>
      </w:r>
      <w:r>
        <w:rPr>
          <w:rFonts w:hint="eastAsia" w:ascii="宋体" w:hAnsi="宋体" w:eastAsia="宋体" w:cs="宋体"/>
          <w:bCs/>
          <w:sz w:val="24"/>
          <w:szCs w:val="22"/>
          <w:lang w:eastAsia="zh-CN"/>
        </w:rPr>
        <w:t>合同签订后根据</w:t>
      </w:r>
      <w:r>
        <w:rPr>
          <w:rFonts w:hint="eastAsia" w:ascii="宋体" w:hAnsi="宋体" w:eastAsia="宋体" w:cs="宋体"/>
          <w:bCs/>
          <w:sz w:val="24"/>
          <w:szCs w:val="22"/>
          <w:lang w:val="en-US" w:eastAsia="zh-CN"/>
        </w:rPr>
        <w:t>采购人每次通知的需求量</w:t>
      </w:r>
      <w:r>
        <w:rPr>
          <w:rFonts w:hint="eastAsia" w:ascii="宋体" w:hAnsi="宋体" w:eastAsia="宋体" w:cs="宋体"/>
          <w:bCs/>
          <w:sz w:val="24"/>
          <w:szCs w:val="22"/>
          <w:lang w:eastAsia="zh-CN"/>
        </w:rPr>
        <w:t>供货，</w:t>
      </w:r>
      <w:r>
        <w:rPr>
          <w:rFonts w:hint="default" w:ascii="宋体" w:hAnsi="宋体" w:eastAsia="宋体" w:cs="宋体"/>
          <w:bCs/>
          <w:sz w:val="24"/>
          <w:szCs w:val="22"/>
          <w:lang w:val="en-US" w:eastAsia="zh-Hans"/>
        </w:rPr>
        <w:t>货物运至</w:t>
      </w:r>
      <w:r>
        <w:rPr>
          <w:rFonts w:hint="eastAsia" w:ascii="宋体" w:hAnsi="宋体" w:eastAsia="宋体" w:cs="宋体"/>
          <w:bCs/>
          <w:sz w:val="24"/>
          <w:szCs w:val="22"/>
          <w:lang w:val="en-US" w:eastAsia="zh-CN"/>
        </w:rPr>
        <w:t>采购人</w:t>
      </w:r>
      <w:r>
        <w:rPr>
          <w:rFonts w:hint="default" w:ascii="宋体" w:hAnsi="宋体" w:eastAsia="宋体" w:cs="宋体"/>
          <w:bCs/>
          <w:sz w:val="24"/>
          <w:szCs w:val="22"/>
          <w:lang w:val="en-US" w:eastAsia="zh-Hans"/>
        </w:rPr>
        <w:t>指定地点</w:t>
      </w:r>
      <w:r>
        <w:rPr>
          <w:rFonts w:hint="eastAsia" w:ascii="宋体" w:hAnsi="宋体" w:eastAsia="宋体" w:cs="宋体"/>
          <w:bCs/>
          <w:sz w:val="24"/>
          <w:szCs w:val="22"/>
          <w:lang w:val="en-US" w:eastAsia="zh-CN"/>
        </w:rPr>
        <w:t>，每批次</w:t>
      </w:r>
      <w:r>
        <w:rPr>
          <w:rFonts w:hint="eastAsia" w:ascii="宋体" w:hAnsi="宋体" w:eastAsia="宋体" w:cs="宋体"/>
          <w:bCs/>
          <w:sz w:val="24"/>
          <w:szCs w:val="22"/>
        </w:rPr>
        <w:t>经</w:t>
      </w:r>
      <w:r>
        <w:rPr>
          <w:rFonts w:hint="eastAsia" w:ascii="宋体" w:hAnsi="宋体" w:eastAsia="宋体" w:cs="宋体"/>
          <w:bCs/>
          <w:sz w:val="24"/>
          <w:szCs w:val="22"/>
          <w:lang w:val="en-US" w:eastAsia="zh-CN"/>
        </w:rPr>
        <w:t>采购人验收</w:t>
      </w:r>
      <w:r>
        <w:rPr>
          <w:rFonts w:hint="eastAsia" w:ascii="宋体" w:hAnsi="宋体" w:eastAsia="宋体" w:cs="宋体"/>
          <w:bCs/>
          <w:sz w:val="24"/>
          <w:szCs w:val="22"/>
        </w:rPr>
        <w:t>无误后</w:t>
      </w:r>
      <w:r>
        <w:rPr>
          <w:rFonts w:hint="eastAsia" w:ascii="宋体" w:hAnsi="宋体" w:eastAsia="宋体" w:cs="宋体"/>
          <w:bCs/>
          <w:sz w:val="24"/>
          <w:szCs w:val="22"/>
          <w:lang w:eastAsia="zh-CN"/>
        </w:rPr>
        <w:t>，</w:t>
      </w:r>
      <w:r>
        <w:rPr>
          <w:rFonts w:hint="eastAsia" w:ascii="宋体" w:hAnsi="宋体" w:eastAsia="宋体" w:cs="宋体"/>
          <w:sz w:val="24"/>
          <w:szCs w:val="24"/>
        </w:rPr>
        <w:t>成交</w:t>
      </w:r>
      <w:r>
        <w:rPr>
          <w:rFonts w:hint="eastAsia" w:ascii="宋体" w:hAnsi="宋体" w:eastAsia="宋体" w:cs="宋体"/>
          <w:bCs/>
          <w:sz w:val="24"/>
          <w:szCs w:val="22"/>
          <w:lang w:val="en-US" w:eastAsia="zh-CN"/>
        </w:rPr>
        <w:t>供应商</w:t>
      </w:r>
      <w:r>
        <w:rPr>
          <w:rFonts w:hint="eastAsia" w:ascii="宋体" w:hAnsi="宋体" w:eastAsia="宋体" w:cs="宋体"/>
          <w:bCs/>
          <w:sz w:val="24"/>
          <w:szCs w:val="22"/>
        </w:rPr>
        <w:t>需向</w:t>
      </w:r>
      <w:r>
        <w:rPr>
          <w:rFonts w:hint="eastAsia" w:ascii="宋体" w:hAnsi="宋体" w:eastAsia="宋体" w:cs="宋体"/>
          <w:bCs/>
          <w:sz w:val="24"/>
          <w:szCs w:val="22"/>
          <w:lang w:val="en-US" w:eastAsia="zh-CN"/>
        </w:rPr>
        <w:t>采购人</w:t>
      </w:r>
      <w:r>
        <w:rPr>
          <w:rFonts w:hint="eastAsia" w:ascii="宋体" w:hAnsi="宋体" w:eastAsia="宋体" w:cs="宋体"/>
          <w:bCs/>
          <w:sz w:val="24"/>
          <w:szCs w:val="22"/>
        </w:rPr>
        <w:t>提供正式纳税发票</w:t>
      </w:r>
      <w:r>
        <w:rPr>
          <w:rFonts w:hint="eastAsia" w:ascii="宋体" w:hAnsi="宋体" w:eastAsia="宋体" w:cs="宋体"/>
          <w:bCs/>
          <w:sz w:val="24"/>
          <w:szCs w:val="22"/>
          <w:lang w:val="en-US" w:eastAsia="zh-CN"/>
        </w:rPr>
        <w:t>，按照采购方的支付流程以转账的方式支付，</w:t>
      </w:r>
      <w:r>
        <w:rPr>
          <w:rFonts w:hint="eastAsia" w:ascii="宋体" w:hAnsi="宋体" w:eastAsia="宋体" w:cs="宋体"/>
          <w:bCs/>
          <w:sz w:val="24"/>
          <w:szCs w:val="22"/>
        </w:rPr>
        <w:t>结算时间可按每</w:t>
      </w:r>
      <w:r>
        <w:rPr>
          <w:rFonts w:hint="eastAsia" w:ascii="宋体" w:hAnsi="宋体" w:eastAsia="宋体" w:cs="宋体"/>
          <w:bCs/>
          <w:sz w:val="24"/>
          <w:szCs w:val="22"/>
          <w:lang w:val="en-US" w:eastAsia="zh-CN"/>
        </w:rPr>
        <w:t>月据实结算</w:t>
      </w:r>
      <w:r>
        <w:rPr>
          <w:rFonts w:hint="eastAsia" w:ascii="宋体" w:hAnsi="宋体" w:eastAsia="宋体" w:cs="宋体"/>
          <w:bCs/>
          <w:sz w:val="24"/>
          <w:szCs w:val="22"/>
        </w:rPr>
        <w:t>。</w:t>
      </w:r>
    </w:p>
    <w:p w14:paraId="341AB1E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lang w:val="en-US" w:eastAsia="zh-CN"/>
        </w:rPr>
      </w:pPr>
      <w:r>
        <w:rPr>
          <w:rFonts w:hint="eastAsia" w:ascii="宋体" w:hAnsi="宋体" w:eastAsia="宋体" w:cs="宋体"/>
          <w:sz w:val="24"/>
          <w:szCs w:val="24"/>
          <w:lang w:val="en-US" w:eastAsia="zh-CN"/>
        </w:rPr>
        <w:t>3.运输装卸</w:t>
      </w:r>
      <w:r>
        <w:rPr>
          <w:rFonts w:hint="eastAsia" w:ascii="宋体" w:hAnsi="宋体" w:eastAsia="宋体" w:cs="宋体"/>
          <w:sz w:val="24"/>
          <w:szCs w:val="24"/>
        </w:rPr>
        <w:t>：成交供应商负责</w:t>
      </w:r>
      <w:r>
        <w:rPr>
          <w:rFonts w:hint="eastAsia" w:ascii="宋体" w:hAnsi="宋体" w:eastAsia="宋体" w:cs="宋体"/>
          <w:sz w:val="24"/>
          <w:szCs w:val="24"/>
          <w:lang w:eastAsia="zh-CN"/>
        </w:rPr>
        <w:t>货物的运输。</w:t>
      </w:r>
      <w:r>
        <w:rPr>
          <w:rFonts w:hint="eastAsia" w:ascii="宋体" w:hAnsi="宋体" w:eastAsia="宋体" w:cs="宋体"/>
          <w:sz w:val="24"/>
          <w:szCs w:val="24"/>
        </w:rPr>
        <w:t>货物到达现场后，成交供应商组织</w:t>
      </w:r>
      <w:r>
        <w:rPr>
          <w:rFonts w:hint="eastAsia" w:ascii="宋体" w:hAnsi="宋体" w:eastAsia="宋体" w:cs="宋体"/>
          <w:sz w:val="24"/>
          <w:szCs w:val="24"/>
          <w:lang w:eastAsia="zh-CN"/>
        </w:rPr>
        <w:t>装卸货物，搬运到采购人指定位置，</w:t>
      </w:r>
      <w:r>
        <w:rPr>
          <w:rFonts w:hint="eastAsia" w:ascii="宋体" w:hAnsi="宋体" w:eastAsia="宋体" w:cs="宋体"/>
          <w:sz w:val="24"/>
          <w:szCs w:val="24"/>
        </w:rPr>
        <w:t>所需的费用包括在总价格中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含税费</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运输及搬运</w:t>
      </w:r>
      <w:r>
        <w:rPr>
          <w:rFonts w:hint="eastAsia" w:ascii="宋体" w:hAnsi="宋体" w:eastAsia="宋体" w:cs="宋体"/>
          <w:sz w:val="24"/>
          <w:szCs w:val="24"/>
        </w:rPr>
        <w:t>过程中发生任何人员伤亡或财产损失，均由成交供应商负责解决并自行承担全部责任</w:t>
      </w:r>
      <w:r>
        <w:rPr>
          <w:rFonts w:hint="eastAsia" w:ascii="宋体" w:hAnsi="宋体" w:eastAsia="宋体" w:cs="宋体"/>
          <w:sz w:val="24"/>
          <w:szCs w:val="24"/>
          <w:lang w:eastAsia="zh-CN"/>
        </w:rPr>
        <w:t>，</w:t>
      </w:r>
      <w:r>
        <w:rPr>
          <w:rFonts w:hint="eastAsia" w:ascii="宋体" w:hAnsi="宋体" w:eastAsia="宋体" w:cs="宋体"/>
          <w:sz w:val="24"/>
          <w:szCs w:val="24"/>
        </w:rPr>
        <w:t>与采购人无关。</w:t>
      </w:r>
    </w:p>
    <w:p w14:paraId="3728339A">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4.质保期限：生产日期须在交货日期前2个月以内生产。（提供承诺函）</w:t>
      </w:r>
    </w:p>
    <w:p w14:paraId="6F183F48">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5.成交供应商应保证提供的货物符合国家《食品安全国家标准包装饮用水》标准,包装坚固、密封良好，标识清晰完整包含产品名称、水源地、生产日期、保质期、生产厂家等相关信息内容。</w:t>
      </w:r>
    </w:p>
    <w:p w14:paraId="4DECE139">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6.成交供应商免费提供一次性桶装水所需的茶吧机、免配送费，定期对茶吧机进行维护维保。</w:t>
      </w:r>
    </w:p>
    <w:p w14:paraId="765A3B4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7.成交供应商按照采购人的</w:t>
      </w:r>
      <w:r>
        <w:rPr>
          <w:rFonts w:hint="default" w:ascii="宋体" w:hAnsi="宋体" w:eastAsia="宋体" w:cs="宋体"/>
          <w:sz w:val="24"/>
          <w:szCs w:val="24"/>
          <w:lang w:val="en-US" w:eastAsia="zh-CN"/>
        </w:rPr>
        <w:t>要求设计矿泉水瓶身外观，定制化标签内容</w:t>
      </w:r>
      <w:r>
        <w:rPr>
          <w:rFonts w:hint="eastAsia" w:ascii="宋体" w:hAnsi="宋体" w:eastAsia="宋体" w:cs="宋体"/>
          <w:sz w:val="24"/>
          <w:szCs w:val="24"/>
          <w:lang w:val="en-US" w:eastAsia="zh-CN"/>
        </w:rPr>
        <w:t>。</w:t>
      </w:r>
    </w:p>
    <w:p w14:paraId="36BC5C82">
      <w:pPr>
        <w:pStyle w:val="3"/>
        <w:pageBreakBefore w:val="0"/>
        <w:widowControl w:val="0"/>
        <w:numPr>
          <w:ilvl w:val="0"/>
          <w:numId w:val="0"/>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七、其他要求</w:t>
      </w:r>
    </w:p>
    <w:p w14:paraId="564815F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评标过程中出现下列情形之⼀的，评审小组参照政府采购异常低价投标审查程序：</w:t>
      </w:r>
    </w:p>
    <w:p w14:paraId="3014A51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 xml:space="preserve">1、投标报价低于全部通过符合性审查供应商投标报价平均值 </w:t>
      </w:r>
      <w:r>
        <w:rPr>
          <w:rFonts w:hint="default" w:ascii="宋体" w:hAnsi="宋体" w:eastAsia="宋体" w:cs="宋体"/>
          <w:bCs/>
          <w:color w:val="auto"/>
          <w:sz w:val="24"/>
          <w:szCs w:val="22"/>
          <w:lang w:val="en-US" w:eastAsia="zh-CN"/>
        </w:rPr>
        <w:t xml:space="preserve">65 %的，即投标报价&lt;全部通过符合性审查供应商投标报价平均值× 65 %； </w:t>
      </w:r>
    </w:p>
    <w:p w14:paraId="4E0F6A0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2、</w:t>
      </w:r>
      <w:r>
        <w:rPr>
          <w:rFonts w:hint="default" w:ascii="宋体" w:hAnsi="宋体" w:eastAsia="宋体" w:cs="宋体"/>
          <w:bCs/>
          <w:color w:val="auto"/>
          <w:sz w:val="24"/>
          <w:szCs w:val="22"/>
          <w:lang w:val="en-US" w:eastAsia="zh-CN"/>
        </w:rPr>
        <w:t xml:space="preserve">投标报价低于通过符合性审查的次低报价供应商投标报价 65 %的，即投标报价&lt;通过符合性审查的次低报价供应商投标报价×65 %； </w:t>
      </w:r>
    </w:p>
    <w:p w14:paraId="0DBCE6A4">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3、</w:t>
      </w:r>
      <w:r>
        <w:rPr>
          <w:rFonts w:hint="default" w:ascii="宋体" w:hAnsi="宋体" w:eastAsia="宋体" w:cs="宋体"/>
          <w:bCs/>
          <w:color w:val="auto"/>
          <w:sz w:val="24"/>
          <w:szCs w:val="22"/>
          <w:lang w:val="en-US" w:eastAsia="zh-CN"/>
        </w:rPr>
        <w:t>投标报价低于采购项⽬（采购包）最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限价 65 %的，即投标报价&lt;</w:t>
      </w:r>
      <w:r>
        <w:rPr>
          <w:rFonts w:hint="eastAsia" w:ascii="宋体" w:hAnsi="宋体" w:eastAsia="宋体" w:cs="宋体"/>
          <w:bCs/>
          <w:color w:val="auto"/>
          <w:sz w:val="24"/>
          <w:szCs w:val="22"/>
          <w:lang w:val="en-US" w:eastAsia="zh-CN"/>
        </w:rPr>
        <w:t>采购项目</w:t>
      </w:r>
      <w:r>
        <w:rPr>
          <w:rFonts w:hint="default" w:ascii="宋体" w:hAnsi="宋体" w:eastAsia="宋体" w:cs="宋体"/>
          <w:bCs/>
          <w:color w:val="auto"/>
          <w:sz w:val="24"/>
          <w:szCs w:val="22"/>
          <w:lang w:val="en-US" w:eastAsia="zh-CN"/>
        </w:rPr>
        <w:t>（采购包）最</w:t>
      </w:r>
      <w:r>
        <w:rPr>
          <w:rFonts w:hint="eastAsia" w:ascii="宋体" w:hAnsi="宋体" w:eastAsia="宋体" w:cs="宋体"/>
          <w:bCs/>
          <w:color w:val="auto"/>
          <w:sz w:val="24"/>
          <w:szCs w:val="22"/>
          <w:lang w:val="en-US" w:eastAsia="zh-CN"/>
        </w:rPr>
        <w:t>高</w:t>
      </w:r>
      <w:r>
        <w:rPr>
          <w:rFonts w:hint="default" w:ascii="宋体" w:hAnsi="宋体" w:eastAsia="宋体" w:cs="宋体"/>
          <w:bCs/>
          <w:color w:val="auto"/>
          <w:sz w:val="24"/>
          <w:szCs w:val="22"/>
          <w:lang w:val="en-US" w:eastAsia="zh-CN"/>
        </w:rPr>
        <w:t xml:space="preserve">限价× 65 %； </w:t>
      </w:r>
    </w:p>
    <w:p w14:paraId="038F7D87">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4、评审小组</w:t>
      </w:r>
      <w:r>
        <w:rPr>
          <w:rFonts w:hint="default" w:ascii="宋体" w:hAnsi="宋体" w:eastAsia="宋体" w:cs="宋体"/>
          <w:bCs/>
          <w:color w:val="auto"/>
          <w:sz w:val="24"/>
          <w:szCs w:val="22"/>
          <w:lang w:val="en-US" w:eastAsia="zh-CN"/>
        </w:rPr>
        <w:t xml:space="preserve">基于专业判断，认为供应商报价过低，有可能影响产品质量或者不能诚信履约的其他情形。 </w:t>
      </w:r>
    </w:p>
    <w:p w14:paraId="0D8898C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w:t>
      </w:r>
      <w:r>
        <w:rPr>
          <w:rFonts w:hint="eastAsia" w:ascii="宋体" w:hAnsi="宋体" w:eastAsia="宋体" w:cs="宋体"/>
          <w:bCs/>
          <w:color w:val="auto"/>
          <w:sz w:val="24"/>
          <w:szCs w:val="22"/>
          <w:lang w:val="en-US" w:eastAsia="zh-CN"/>
        </w:rPr>
        <w:t>人工成本</w:t>
      </w:r>
      <w:r>
        <w:rPr>
          <w:rFonts w:hint="default" w:ascii="宋体" w:hAnsi="宋体" w:eastAsia="宋体" w:cs="宋体"/>
          <w:bCs/>
          <w:color w:val="auto"/>
          <w:sz w:val="24"/>
          <w:szCs w:val="22"/>
          <w:lang w:val="en-US" w:eastAsia="zh-CN"/>
        </w:rPr>
        <w:t>、制造费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 xml:space="preserve">等，给予相关供应商的合理时间⼀般不少于30分钟。其中，属于第3项情形，供应商已随投标⽂件⼀并提交 相关书⾯说明及必要的证明材料的，在评审现场可不再重复提交。 </w:t>
      </w:r>
    </w:p>
    <w:p w14:paraId="19CB46C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会依据专业经验，参考同类</w:t>
      </w:r>
      <w:r>
        <w:rPr>
          <w:rFonts w:hint="eastAsia" w:ascii="宋体" w:hAnsi="宋体" w:eastAsia="宋体" w:cs="宋体"/>
          <w:bCs/>
          <w:color w:val="auto"/>
          <w:sz w:val="24"/>
          <w:szCs w:val="22"/>
          <w:lang w:val="en-US" w:eastAsia="zh-CN"/>
        </w:rPr>
        <w:t>项目</w:t>
      </w:r>
      <w:r>
        <w:rPr>
          <w:rFonts w:hint="default" w:ascii="宋体" w:hAnsi="宋体" w:eastAsia="宋体" w:cs="宋体"/>
          <w:bCs/>
          <w:color w:val="auto"/>
          <w:sz w:val="24"/>
          <w:szCs w:val="22"/>
          <w:lang w:val="en-US" w:eastAsia="zh-CN"/>
        </w:rPr>
        <w:t>中标（成交）价格、类似产品市场价格</w:t>
      </w:r>
      <w:r>
        <w:rPr>
          <w:rFonts w:hint="eastAsia" w:ascii="宋体" w:hAnsi="宋体" w:eastAsia="宋体" w:cs="宋体"/>
          <w:bCs/>
          <w:color w:val="auto"/>
          <w:sz w:val="24"/>
          <w:szCs w:val="22"/>
          <w:lang w:val="en-US" w:eastAsia="zh-CN"/>
        </w:rPr>
        <w:t>水平</w:t>
      </w:r>
      <w:r>
        <w:rPr>
          <w:rFonts w:hint="default" w:ascii="宋体" w:hAnsi="宋体" w:eastAsia="宋体" w:cs="宋体"/>
          <w:bCs/>
          <w:color w:val="auto"/>
          <w:sz w:val="24"/>
          <w:szCs w:val="22"/>
          <w:lang w:val="en-US" w:eastAsia="zh-CN"/>
        </w:rPr>
        <w:t>、</w:t>
      </w:r>
      <w:r>
        <w:rPr>
          <w:rFonts w:hint="eastAsia" w:ascii="宋体" w:hAnsi="宋体" w:eastAsia="宋体" w:cs="宋体"/>
          <w:bCs/>
          <w:color w:val="auto"/>
          <w:sz w:val="24"/>
          <w:szCs w:val="22"/>
          <w:lang w:val="en-US" w:eastAsia="zh-CN"/>
        </w:rPr>
        <w:t>行业人工</w:t>
      </w:r>
      <w:r>
        <w:rPr>
          <w:rFonts w:hint="default" w:ascii="宋体" w:hAnsi="宋体" w:eastAsia="宋体" w:cs="宋体"/>
          <w:bCs/>
          <w:color w:val="auto"/>
          <w:sz w:val="24"/>
          <w:szCs w:val="22"/>
          <w:lang w:val="en-US" w:eastAsia="zh-CN"/>
        </w:rPr>
        <w:t>费</w:t>
      </w:r>
      <w:r>
        <w:rPr>
          <w:rFonts w:hint="eastAsia" w:ascii="宋体" w:hAnsi="宋体" w:eastAsia="宋体" w:cs="宋体"/>
          <w:bCs/>
          <w:color w:val="auto"/>
          <w:sz w:val="24"/>
          <w:szCs w:val="22"/>
          <w:lang w:val="en-US" w:eastAsia="zh-CN"/>
        </w:rPr>
        <w:t>用</w:t>
      </w:r>
      <w:r>
        <w:rPr>
          <w:rFonts w:hint="default" w:ascii="宋体" w:hAnsi="宋体" w:eastAsia="宋体" w:cs="宋体"/>
          <w:bCs/>
          <w:color w:val="auto"/>
          <w:sz w:val="24"/>
          <w:szCs w:val="22"/>
          <w:lang w:val="en-US" w:eastAsia="zh-CN"/>
        </w:rPr>
        <w:t>标准、国家有关部</w:t>
      </w:r>
      <w:r>
        <w:rPr>
          <w:rFonts w:hint="eastAsia" w:ascii="宋体" w:hAnsi="宋体" w:eastAsia="宋体" w:cs="宋体"/>
          <w:bCs/>
          <w:color w:val="auto"/>
          <w:sz w:val="24"/>
          <w:szCs w:val="22"/>
          <w:lang w:val="en-US" w:eastAsia="zh-CN"/>
        </w:rPr>
        <w:t>门</w:t>
      </w:r>
      <w:r>
        <w:rPr>
          <w:rFonts w:hint="default" w:ascii="宋体" w:hAnsi="宋体" w:eastAsia="宋体" w:cs="宋体"/>
          <w:bCs/>
          <w:color w:val="auto"/>
          <w:sz w:val="24"/>
          <w:szCs w:val="22"/>
          <w:lang w:val="en-US" w:eastAsia="zh-CN"/>
        </w:rPr>
        <w:t>指导</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协会发布的</w:t>
      </w:r>
      <w:r>
        <w:rPr>
          <w:rFonts w:hint="eastAsia" w:ascii="宋体" w:hAnsi="宋体" w:eastAsia="宋体" w:cs="宋体"/>
          <w:bCs/>
          <w:color w:val="auto"/>
          <w:sz w:val="24"/>
          <w:szCs w:val="22"/>
          <w:lang w:val="en-US" w:eastAsia="zh-CN"/>
        </w:rPr>
        <w:t>行业</w:t>
      </w:r>
      <w:r>
        <w:rPr>
          <w:rFonts w:hint="default" w:ascii="宋体" w:hAnsi="宋体" w:eastAsia="宋体" w:cs="宋体"/>
          <w:bCs/>
          <w:color w:val="auto"/>
          <w:sz w:val="24"/>
          <w:szCs w:val="22"/>
          <w:lang w:val="en-US" w:eastAsia="zh-CN"/>
        </w:rPr>
        <w:t>平均成本等情况，对报价合理性</w:t>
      </w:r>
      <w:r>
        <w:rPr>
          <w:rFonts w:hint="eastAsia" w:ascii="宋体" w:hAnsi="宋体" w:eastAsia="宋体" w:cs="宋体"/>
          <w:bCs/>
          <w:color w:val="auto"/>
          <w:sz w:val="24"/>
          <w:szCs w:val="22"/>
          <w:lang w:val="en-US" w:eastAsia="zh-CN"/>
        </w:rPr>
        <w:t>进行</w:t>
      </w:r>
      <w:r>
        <w:rPr>
          <w:rFonts w:hint="default" w:ascii="宋体" w:hAnsi="宋体" w:eastAsia="宋体" w:cs="宋体"/>
          <w:bCs/>
          <w:color w:val="auto"/>
          <w:sz w:val="24"/>
          <w:szCs w:val="22"/>
          <w:lang w:val="en-US" w:eastAsia="zh-CN"/>
        </w:rPr>
        <w:t>判断。投标供应商不能提供书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说明、证明材料，或者提供的书</w:t>
      </w:r>
      <w:r>
        <w:rPr>
          <w:rFonts w:hint="eastAsia" w:ascii="宋体" w:hAnsi="宋体" w:eastAsia="宋体" w:cs="宋体"/>
          <w:bCs/>
          <w:color w:val="auto"/>
          <w:sz w:val="24"/>
          <w:szCs w:val="22"/>
          <w:lang w:val="en-US" w:eastAsia="zh-CN"/>
        </w:rPr>
        <w:t>面</w:t>
      </w:r>
      <w:r>
        <w:rPr>
          <w:rFonts w:hint="default" w:ascii="宋体" w:hAnsi="宋体" w:eastAsia="宋体" w:cs="宋体"/>
          <w:bCs/>
          <w:color w:val="auto"/>
          <w:sz w:val="24"/>
          <w:szCs w:val="22"/>
          <w:lang w:val="en-US" w:eastAsia="zh-CN"/>
        </w:rPr>
        <w:t>说明、证明材料不能证明其报价合理性的，</w:t>
      </w:r>
      <w:r>
        <w:rPr>
          <w:rFonts w:hint="eastAsia" w:ascii="宋体" w:hAnsi="宋体" w:eastAsia="宋体" w:cs="宋体"/>
          <w:bCs/>
          <w:color w:val="auto"/>
          <w:sz w:val="24"/>
          <w:szCs w:val="22"/>
          <w:lang w:val="en-US" w:eastAsia="zh-CN"/>
        </w:rPr>
        <w:t>评审小组</w:t>
      </w:r>
      <w:r>
        <w:rPr>
          <w:rFonts w:hint="default" w:ascii="宋体" w:hAnsi="宋体" w:eastAsia="宋体" w:cs="宋体"/>
          <w:bCs/>
          <w:color w:val="auto"/>
          <w:sz w:val="24"/>
          <w:szCs w:val="22"/>
          <w:lang w:val="en-US" w:eastAsia="zh-CN"/>
        </w:rPr>
        <w:t>应当将其作为</w:t>
      </w:r>
      <w:r>
        <w:rPr>
          <w:rFonts w:hint="eastAsia" w:ascii="宋体" w:hAnsi="宋体" w:eastAsia="宋体" w:cs="宋体"/>
          <w:bCs/>
          <w:color w:val="auto"/>
          <w:sz w:val="24"/>
          <w:szCs w:val="22"/>
          <w:lang w:val="en-US" w:eastAsia="zh-CN"/>
        </w:rPr>
        <w:t>无</w:t>
      </w:r>
      <w:r>
        <w:rPr>
          <w:rFonts w:hint="default" w:ascii="宋体" w:hAnsi="宋体" w:eastAsia="宋体" w:cs="宋体"/>
          <w:bCs/>
          <w:color w:val="auto"/>
          <w:sz w:val="24"/>
          <w:szCs w:val="22"/>
          <w:lang w:val="en-US" w:eastAsia="zh-CN"/>
        </w:rPr>
        <w:t>效投标处理。</w:t>
      </w:r>
    </w:p>
    <w:p w14:paraId="7F031E40">
      <w:pPr>
        <w:rPr>
          <w:rFonts w:hint="eastAsia"/>
          <w:lang w:val="en-US" w:eastAsia="zh-CN"/>
        </w:rPr>
      </w:pPr>
    </w:p>
    <w:p w14:paraId="393497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备注：本章采购文件中标注“★”号的条款为本次采购项目的实质性要求，供应商应全部满足；带“▲”的为重要性参数条款，需提供相应的证明材料进行佐证。</w:t>
      </w:r>
    </w:p>
    <w:p w14:paraId="0AD0EAE9">
      <w:pPr>
        <w:pStyle w:val="2"/>
        <w:rPr>
          <w:rFonts w:hint="eastAsia" w:ascii="宋体" w:hAnsi="宋体" w:eastAsia="宋体" w:cs="宋体"/>
          <w:sz w:val="24"/>
          <w:szCs w:val="24"/>
          <w:lang w:val="en-US" w:eastAsia="zh-CN"/>
        </w:rPr>
      </w:pPr>
    </w:p>
    <w:p w14:paraId="5E538AAF">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p>
    <w:p w14:paraId="0DC610A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38D3C7B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63EED12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4F7F4336">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241" w:firstLineChars="100"/>
        <w:textAlignment w:val="auto"/>
        <w:rPr>
          <w:rFonts w:hint="eastAsia" w:ascii="宋体" w:hAnsi="宋体" w:eastAsia="宋体" w:cs="宋体"/>
          <w:b/>
          <w:bCs/>
          <w:sz w:val="24"/>
          <w:szCs w:val="24"/>
          <w:lang w:val="en-US" w:eastAsia="zh-CN"/>
        </w:rPr>
      </w:pPr>
    </w:p>
    <w:p w14:paraId="50493DEC">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七、评分标准</w:t>
      </w:r>
    </w:p>
    <w:tbl>
      <w:tblPr>
        <w:tblStyle w:val="10"/>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1320"/>
        <w:gridCol w:w="1080"/>
        <w:gridCol w:w="6128"/>
      </w:tblGrid>
      <w:tr w14:paraId="3FD8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35" w:hRule="atLeast"/>
          <w:jc w:val="center"/>
        </w:trPr>
        <w:tc>
          <w:tcPr>
            <w:tcW w:w="795" w:type="dxa"/>
            <w:noWrap w:val="0"/>
            <w:vAlign w:val="center"/>
          </w:tcPr>
          <w:p w14:paraId="60CF8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序号</w:t>
            </w:r>
          </w:p>
        </w:tc>
        <w:tc>
          <w:tcPr>
            <w:tcW w:w="1320" w:type="dxa"/>
            <w:noWrap w:val="0"/>
            <w:vAlign w:val="center"/>
          </w:tcPr>
          <w:p w14:paraId="7C37537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评分因素</w:t>
            </w:r>
          </w:p>
        </w:tc>
        <w:tc>
          <w:tcPr>
            <w:tcW w:w="1080" w:type="dxa"/>
            <w:noWrap w:val="0"/>
            <w:vAlign w:val="center"/>
          </w:tcPr>
          <w:p w14:paraId="5A5ABF3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6128" w:type="dxa"/>
            <w:noWrap w:val="0"/>
            <w:vAlign w:val="center"/>
          </w:tcPr>
          <w:p w14:paraId="46026D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评分标准</w:t>
            </w:r>
          </w:p>
        </w:tc>
      </w:tr>
      <w:tr w14:paraId="6EA4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068" w:hRule="atLeast"/>
          <w:jc w:val="center"/>
        </w:trPr>
        <w:tc>
          <w:tcPr>
            <w:tcW w:w="795" w:type="dxa"/>
            <w:noWrap w:val="0"/>
            <w:vAlign w:val="center"/>
          </w:tcPr>
          <w:p w14:paraId="0CAAE7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1320" w:type="dxa"/>
            <w:noWrap w:val="0"/>
            <w:vAlign w:val="center"/>
          </w:tcPr>
          <w:p w14:paraId="4A1C81A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报价</w:t>
            </w:r>
          </w:p>
        </w:tc>
        <w:tc>
          <w:tcPr>
            <w:tcW w:w="1080" w:type="dxa"/>
            <w:noWrap w:val="0"/>
            <w:vAlign w:val="center"/>
          </w:tcPr>
          <w:p w14:paraId="28D6EC2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39分</w:t>
            </w:r>
          </w:p>
        </w:tc>
        <w:tc>
          <w:tcPr>
            <w:tcW w:w="6128" w:type="dxa"/>
            <w:noWrap w:val="0"/>
            <w:vAlign w:val="center"/>
          </w:tcPr>
          <w:p w14:paraId="7602DC4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报价为单价汇总报价</w:t>
            </w:r>
            <w:r>
              <w:rPr>
                <w:rFonts w:hint="eastAsia" w:ascii="宋体" w:hAnsi="宋体" w:eastAsia="宋体" w:cs="宋体"/>
                <w:b/>
                <w:bCs/>
                <w:color w:val="000000"/>
                <w:sz w:val="24"/>
                <w:szCs w:val="24"/>
                <w:lang w:eastAsia="zh-CN"/>
              </w:rPr>
              <w:t>。</w:t>
            </w:r>
          </w:p>
          <w:p w14:paraId="2C74EB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auto"/>
                <w:kern w:val="0"/>
                <w:sz w:val="24"/>
                <w:szCs w:val="24"/>
                <w:lang w:val="en-US" w:eastAsia="zh-CN"/>
              </w:rPr>
              <w:t>满足招标文件要求且投标价格最低的报价为评标基准价，其价格分为满分。其他投标人的价格分统一按照下列公式计算：投标报价得分=（评标基准价／投标报价）×39。</w:t>
            </w:r>
          </w:p>
        </w:tc>
      </w:tr>
      <w:tr w14:paraId="2651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57" w:hRule="atLeast"/>
          <w:jc w:val="center"/>
        </w:trPr>
        <w:tc>
          <w:tcPr>
            <w:tcW w:w="795" w:type="dxa"/>
            <w:noWrap w:val="0"/>
            <w:vAlign w:val="center"/>
          </w:tcPr>
          <w:p w14:paraId="41C2706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3A417D8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技术要求</w:t>
            </w:r>
          </w:p>
        </w:tc>
        <w:tc>
          <w:tcPr>
            <w:tcW w:w="1080" w:type="dxa"/>
            <w:noWrap w:val="0"/>
            <w:vAlign w:val="center"/>
          </w:tcPr>
          <w:p w14:paraId="440B283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25分</w:t>
            </w:r>
          </w:p>
        </w:tc>
        <w:tc>
          <w:tcPr>
            <w:tcW w:w="6128" w:type="dxa"/>
            <w:noWrap w:val="0"/>
            <w:vAlign w:val="center"/>
          </w:tcPr>
          <w:p w14:paraId="049F49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投标人针对“技术要求”中“▲”条款的响应得分规则如下:“▲”技术要求条款共25条，每一条响应得1分，完全响应的25分，不符合要求的每条扣1分，扣完为止。</w:t>
            </w:r>
          </w:p>
          <w:p w14:paraId="0EB939A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注：比选文件“重要性参数条款指标注“</w:t>
            </w:r>
            <w:bookmarkStart w:id="1" w:name="OLE_LINK4"/>
            <w:r>
              <w:rPr>
                <w:rFonts w:hint="eastAsia" w:ascii="宋体" w:hAnsi="宋体" w:eastAsia="宋体" w:cs="宋体"/>
                <w:color w:val="000000"/>
                <w:kern w:val="0"/>
                <w:sz w:val="24"/>
                <w:szCs w:val="24"/>
                <w:lang w:val="en-US" w:eastAsia="zh-CN"/>
              </w:rPr>
              <w:t>▲</w:t>
            </w:r>
            <w:bookmarkEnd w:id="1"/>
            <w:r>
              <w:rPr>
                <w:rFonts w:hint="eastAsia" w:ascii="宋体" w:hAnsi="宋体" w:eastAsia="宋体" w:cs="宋体"/>
                <w:color w:val="000000"/>
                <w:kern w:val="0"/>
                <w:sz w:val="24"/>
                <w:szCs w:val="24"/>
                <w:lang w:val="en-US" w:eastAsia="zh-CN"/>
              </w:rPr>
              <w:t>”的条款”需提供参数中相应的证明材料进行佐证的，若提供的材料不能完全满足或未提供的按上述条款进行扣分。</w:t>
            </w:r>
          </w:p>
        </w:tc>
      </w:tr>
      <w:tr w14:paraId="168C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64" w:hRule="atLeast"/>
          <w:jc w:val="center"/>
        </w:trPr>
        <w:tc>
          <w:tcPr>
            <w:tcW w:w="795" w:type="dxa"/>
            <w:noWrap w:val="0"/>
            <w:vAlign w:val="center"/>
          </w:tcPr>
          <w:p w14:paraId="28C1C1E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1320" w:type="dxa"/>
            <w:noWrap w:val="0"/>
            <w:vAlign w:val="center"/>
          </w:tcPr>
          <w:p w14:paraId="6399DE3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实施方案</w:t>
            </w:r>
          </w:p>
        </w:tc>
        <w:tc>
          <w:tcPr>
            <w:tcW w:w="1080" w:type="dxa"/>
            <w:noWrap w:val="0"/>
            <w:vAlign w:val="center"/>
          </w:tcPr>
          <w:p w14:paraId="782FDBB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53EB43D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lang w:val="en-US" w:eastAsia="zh-CN"/>
              </w:rPr>
              <w:t>供应商根据本项目特点，提供实施方案至少包含：</w:t>
            </w:r>
            <w:r>
              <w:rPr>
                <w:rFonts w:hint="eastAsia" w:ascii="宋体" w:hAnsi="宋体" w:eastAsia="宋体" w:cs="宋体"/>
                <w:color w:val="auto"/>
                <w:kern w:val="0"/>
                <w:sz w:val="24"/>
                <w:szCs w:val="24"/>
                <w:lang w:val="en-US" w:eastAsia="zh-Hans"/>
              </w:rPr>
              <w:t>①备货</w:t>
            </w:r>
            <w:r>
              <w:rPr>
                <w:rFonts w:hint="eastAsia" w:ascii="宋体" w:hAnsi="宋体" w:eastAsia="宋体" w:cs="宋体"/>
                <w:color w:val="auto"/>
                <w:kern w:val="0"/>
                <w:sz w:val="24"/>
                <w:szCs w:val="24"/>
                <w:lang w:val="en-US" w:eastAsia="zh-CN"/>
              </w:rPr>
              <w:t>方案及服务流程</w:t>
            </w:r>
            <w:r>
              <w:rPr>
                <w:rFonts w:hint="eastAsia" w:ascii="宋体" w:hAnsi="宋体" w:eastAsia="宋体" w:cs="宋体"/>
                <w:color w:val="auto"/>
                <w:kern w:val="0"/>
                <w:sz w:val="24"/>
                <w:szCs w:val="24"/>
                <w:lang w:val="en-US" w:eastAsia="zh-Hans"/>
              </w:rPr>
              <w:t>；②产品质量保证措施</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Hans"/>
              </w:rPr>
              <w:t>③</w:t>
            </w:r>
            <w:r>
              <w:rPr>
                <w:rFonts w:hint="eastAsia" w:ascii="宋体" w:hAnsi="宋体" w:eastAsia="宋体" w:cs="宋体"/>
                <w:color w:val="auto"/>
                <w:kern w:val="0"/>
                <w:sz w:val="24"/>
                <w:szCs w:val="24"/>
                <w:lang w:val="en-US" w:eastAsia="zh-CN"/>
              </w:rPr>
              <w:t>配送方案；</w:t>
            </w:r>
            <w:r>
              <w:rPr>
                <w:rFonts w:hint="eastAsia" w:ascii="宋体" w:hAnsi="宋体" w:eastAsia="宋体" w:cs="宋体"/>
                <w:color w:val="auto"/>
                <w:kern w:val="0"/>
                <w:sz w:val="24"/>
                <w:szCs w:val="24"/>
                <w:lang w:val="en-US" w:eastAsia="zh-Hans"/>
              </w:rPr>
              <w:t>④</w:t>
            </w:r>
            <w:r>
              <w:rPr>
                <w:rFonts w:hint="eastAsia" w:ascii="宋体" w:hAnsi="宋体" w:eastAsia="宋体" w:cs="宋体"/>
                <w:color w:val="auto"/>
                <w:kern w:val="0"/>
                <w:sz w:val="24"/>
                <w:szCs w:val="24"/>
                <w:lang w:val="en-US" w:eastAsia="zh-CN"/>
              </w:rPr>
              <w:t>团队</w:t>
            </w:r>
            <w:r>
              <w:rPr>
                <w:rFonts w:hint="eastAsia" w:ascii="宋体" w:hAnsi="宋体" w:eastAsia="宋体" w:cs="宋体"/>
                <w:color w:val="auto"/>
                <w:kern w:val="0"/>
                <w:sz w:val="24"/>
                <w:szCs w:val="24"/>
                <w:lang w:val="en-US" w:eastAsia="zh-Hans"/>
              </w:rPr>
              <w:t>人员的配置。</w:t>
            </w:r>
            <w:r>
              <w:rPr>
                <w:rFonts w:hint="eastAsia" w:ascii="宋体" w:hAnsi="宋体" w:eastAsia="宋体" w:cs="宋体"/>
                <w:color w:val="auto"/>
                <w:kern w:val="0"/>
                <w:sz w:val="24"/>
                <w:szCs w:val="24"/>
                <w:lang w:val="en-US" w:eastAsia="zh-CN"/>
              </w:rPr>
              <w:t>每具有一项得2分，最多得8分。</w:t>
            </w:r>
          </w:p>
          <w:p w14:paraId="6B80740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3B05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83" w:hRule="atLeast"/>
          <w:jc w:val="center"/>
        </w:trPr>
        <w:tc>
          <w:tcPr>
            <w:tcW w:w="795" w:type="dxa"/>
            <w:noWrap w:val="0"/>
            <w:vAlign w:val="center"/>
          </w:tcPr>
          <w:p w14:paraId="6D974C9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320" w:type="dxa"/>
            <w:noWrap w:val="0"/>
            <w:vAlign w:val="center"/>
          </w:tcPr>
          <w:p w14:paraId="5F99E99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售后服务</w:t>
            </w:r>
          </w:p>
        </w:tc>
        <w:tc>
          <w:tcPr>
            <w:tcW w:w="1080" w:type="dxa"/>
            <w:noWrap w:val="0"/>
            <w:vAlign w:val="center"/>
          </w:tcPr>
          <w:p w14:paraId="5F1E809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8分</w:t>
            </w:r>
          </w:p>
        </w:tc>
        <w:tc>
          <w:tcPr>
            <w:tcW w:w="6128" w:type="dxa"/>
            <w:noWrap w:val="0"/>
            <w:vAlign w:val="center"/>
          </w:tcPr>
          <w:p w14:paraId="46370EC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供应商需为本项目提供售后服务方案，方案包括：①售后服务人员配备及职责分工；②售后服务保障措施；③售后服务响应流程；④退换货保障。</w:t>
            </w:r>
            <w:r>
              <w:rPr>
                <w:rFonts w:hint="eastAsia" w:ascii="宋体" w:hAnsi="宋体" w:eastAsia="宋体" w:cs="宋体"/>
                <w:color w:val="auto"/>
                <w:kern w:val="0"/>
                <w:sz w:val="24"/>
                <w:szCs w:val="24"/>
                <w:lang w:val="en-US" w:eastAsia="zh-CN"/>
              </w:rPr>
              <w:t>每具有一项得2分，最多得8分。</w:t>
            </w:r>
          </w:p>
          <w:p w14:paraId="1BD17E7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方案合理，针对性强，逻辑条理清晰、内容详尽、完全满足项目要求的得8分，每有1项缺项扣2分，每有一项内容不详尽、内容粗略、对本项目针对性不强、方案有逻辑性问题的扣1分，直至本项扣完为止。</w:t>
            </w:r>
          </w:p>
        </w:tc>
      </w:tr>
      <w:tr w14:paraId="6ACB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6" w:hRule="atLeast"/>
          <w:jc w:val="center"/>
        </w:trPr>
        <w:tc>
          <w:tcPr>
            <w:tcW w:w="795" w:type="dxa"/>
            <w:noWrap w:val="0"/>
            <w:vAlign w:val="center"/>
          </w:tcPr>
          <w:p w14:paraId="786A6FF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1320" w:type="dxa"/>
            <w:noWrap w:val="0"/>
            <w:vAlign w:val="center"/>
          </w:tcPr>
          <w:p w14:paraId="091DE1E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履约能力</w:t>
            </w:r>
          </w:p>
        </w:tc>
        <w:tc>
          <w:tcPr>
            <w:tcW w:w="1080" w:type="dxa"/>
            <w:noWrap w:val="0"/>
            <w:vAlign w:val="center"/>
          </w:tcPr>
          <w:p w14:paraId="29A398D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3366C1C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投标人提供的2023年1月至今类似业绩，每提供一个业绩证明得 2分，最高得10分。</w:t>
            </w:r>
          </w:p>
          <w:p w14:paraId="66016DC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注：提供合同或中标通知书扫描件（加盖投标人公章）。</w:t>
            </w:r>
          </w:p>
        </w:tc>
      </w:tr>
      <w:tr w14:paraId="774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93" w:hRule="atLeast"/>
          <w:jc w:val="center"/>
        </w:trPr>
        <w:tc>
          <w:tcPr>
            <w:tcW w:w="795" w:type="dxa"/>
            <w:noWrap w:val="0"/>
            <w:vAlign w:val="center"/>
          </w:tcPr>
          <w:p w14:paraId="79A6298F">
            <w:pPr>
              <w:widowControl/>
              <w:snapToGrid w:val="0"/>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5</w:t>
            </w:r>
          </w:p>
        </w:tc>
        <w:tc>
          <w:tcPr>
            <w:tcW w:w="1320" w:type="dxa"/>
            <w:noWrap w:val="0"/>
            <w:vAlign w:val="center"/>
          </w:tcPr>
          <w:p w14:paraId="1D85B49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服务响应时间</w:t>
            </w:r>
          </w:p>
        </w:tc>
        <w:tc>
          <w:tcPr>
            <w:tcW w:w="1080" w:type="dxa"/>
            <w:noWrap w:val="0"/>
            <w:vAlign w:val="center"/>
          </w:tcPr>
          <w:p w14:paraId="6081608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10分</w:t>
            </w:r>
          </w:p>
        </w:tc>
        <w:tc>
          <w:tcPr>
            <w:tcW w:w="6128" w:type="dxa"/>
            <w:noWrap w:val="0"/>
            <w:vAlign w:val="center"/>
          </w:tcPr>
          <w:p w14:paraId="1A9247E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遇紧急情况需现场响应，以接到院方电话至货物送达所需的时间计。（提供服务承诺函）</w:t>
            </w:r>
          </w:p>
          <w:p w14:paraId="4645EE1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①服务响应时间≤20分钟得10分，②服务响应时间&gt;20分钟＜1小时得7分，③服务响应时间&gt;1小时＜2小时得5分，大于2小时不得分。</w:t>
            </w:r>
          </w:p>
        </w:tc>
      </w:tr>
    </w:tbl>
    <w:p w14:paraId="6E6CD7C0">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sz w:val="24"/>
          <w:szCs w:val="24"/>
          <w:lang w:val="en-US" w:eastAsia="zh-CN"/>
        </w:rPr>
      </w:pPr>
    </w:p>
    <w:sectPr>
      <w:footerReference r:id="rId5" w:type="default"/>
      <w:pgSz w:w="11906" w:h="16838"/>
      <w:pgMar w:top="1440" w:right="1800" w:bottom="1440" w:left="1800" w:header="708" w:footer="708"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
    <w:altName w:val="宋体"/>
    <w:panose1 w:val="00000000000000000000"/>
    <w:charset w:val="86"/>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41A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9190F92">
                    <w:pPr>
                      <w:pStyle w:val="7"/>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5A39F7"/>
    <w:rsid w:val="00810F5E"/>
    <w:rsid w:val="008470DB"/>
    <w:rsid w:val="008B7726"/>
    <w:rsid w:val="009368AC"/>
    <w:rsid w:val="00D31D50"/>
    <w:rsid w:val="00DC5781"/>
    <w:rsid w:val="01407599"/>
    <w:rsid w:val="021516A5"/>
    <w:rsid w:val="02501EAD"/>
    <w:rsid w:val="02F46E33"/>
    <w:rsid w:val="03557B41"/>
    <w:rsid w:val="03643BA3"/>
    <w:rsid w:val="0371288D"/>
    <w:rsid w:val="03A25A70"/>
    <w:rsid w:val="03BE72A6"/>
    <w:rsid w:val="03C7142B"/>
    <w:rsid w:val="03DC5987"/>
    <w:rsid w:val="0417329C"/>
    <w:rsid w:val="04641826"/>
    <w:rsid w:val="04945734"/>
    <w:rsid w:val="056D6E47"/>
    <w:rsid w:val="062563F0"/>
    <w:rsid w:val="06786A3E"/>
    <w:rsid w:val="06BD65DA"/>
    <w:rsid w:val="079B60C5"/>
    <w:rsid w:val="07C14663"/>
    <w:rsid w:val="080A4C11"/>
    <w:rsid w:val="085849F4"/>
    <w:rsid w:val="08955CC7"/>
    <w:rsid w:val="08A4624A"/>
    <w:rsid w:val="08B122D5"/>
    <w:rsid w:val="0901048B"/>
    <w:rsid w:val="090D23FF"/>
    <w:rsid w:val="092956CE"/>
    <w:rsid w:val="092A4F3A"/>
    <w:rsid w:val="094E03E0"/>
    <w:rsid w:val="09530849"/>
    <w:rsid w:val="09AE62F4"/>
    <w:rsid w:val="0A2E7329"/>
    <w:rsid w:val="0A621C82"/>
    <w:rsid w:val="0A6F3FD3"/>
    <w:rsid w:val="0AB25CAB"/>
    <w:rsid w:val="0AF323F3"/>
    <w:rsid w:val="0B8C2409"/>
    <w:rsid w:val="0B90462A"/>
    <w:rsid w:val="0B93058C"/>
    <w:rsid w:val="0BA039D5"/>
    <w:rsid w:val="0C742E5A"/>
    <w:rsid w:val="0CDF4B5B"/>
    <w:rsid w:val="0D320F13"/>
    <w:rsid w:val="0D3C0B7C"/>
    <w:rsid w:val="0D547C85"/>
    <w:rsid w:val="0D7F34E3"/>
    <w:rsid w:val="0DBB7AE7"/>
    <w:rsid w:val="0DD71875"/>
    <w:rsid w:val="0DF32AF1"/>
    <w:rsid w:val="0E454327"/>
    <w:rsid w:val="0E56673C"/>
    <w:rsid w:val="0E5F4E01"/>
    <w:rsid w:val="0EE631E2"/>
    <w:rsid w:val="0EF258A8"/>
    <w:rsid w:val="0F8B73C0"/>
    <w:rsid w:val="0FD75850"/>
    <w:rsid w:val="10261BDE"/>
    <w:rsid w:val="107E269F"/>
    <w:rsid w:val="1090591F"/>
    <w:rsid w:val="10CB1583"/>
    <w:rsid w:val="10F0650D"/>
    <w:rsid w:val="11453C83"/>
    <w:rsid w:val="11464905"/>
    <w:rsid w:val="11EF349A"/>
    <w:rsid w:val="123002D8"/>
    <w:rsid w:val="12684E77"/>
    <w:rsid w:val="12A70BC3"/>
    <w:rsid w:val="12FD0B67"/>
    <w:rsid w:val="130D7106"/>
    <w:rsid w:val="13222D7C"/>
    <w:rsid w:val="13550A5B"/>
    <w:rsid w:val="14C21806"/>
    <w:rsid w:val="1567498B"/>
    <w:rsid w:val="15872005"/>
    <w:rsid w:val="15A227A2"/>
    <w:rsid w:val="15E6145E"/>
    <w:rsid w:val="15FD432B"/>
    <w:rsid w:val="1609367D"/>
    <w:rsid w:val="160C5ED0"/>
    <w:rsid w:val="1665032B"/>
    <w:rsid w:val="173A441D"/>
    <w:rsid w:val="190A7A32"/>
    <w:rsid w:val="19E347EF"/>
    <w:rsid w:val="19E97045"/>
    <w:rsid w:val="19F3629F"/>
    <w:rsid w:val="1A583AE3"/>
    <w:rsid w:val="1BA925B9"/>
    <w:rsid w:val="1BB856C7"/>
    <w:rsid w:val="1BBD260B"/>
    <w:rsid w:val="1BF558A3"/>
    <w:rsid w:val="1C3F5A67"/>
    <w:rsid w:val="1C6F051E"/>
    <w:rsid w:val="1D7718CE"/>
    <w:rsid w:val="1DDE6103"/>
    <w:rsid w:val="1E930EB0"/>
    <w:rsid w:val="1EA9743F"/>
    <w:rsid w:val="1EB21AF5"/>
    <w:rsid w:val="1EE57977"/>
    <w:rsid w:val="1F5A2C28"/>
    <w:rsid w:val="1F910AD0"/>
    <w:rsid w:val="1FA26413"/>
    <w:rsid w:val="1FDC56A6"/>
    <w:rsid w:val="212B77D5"/>
    <w:rsid w:val="21450FFE"/>
    <w:rsid w:val="219A3DC7"/>
    <w:rsid w:val="21AB0984"/>
    <w:rsid w:val="21BF00A5"/>
    <w:rsid w:val="22270513"/>
    <w:rsid w:val="222C7FA3"/>
    <w:rsid w:val="22335E5D"/>
    <w:rsid w:val="224E4699"/>
    <w:rsid w:val="225F5A5E"/>
    <w:rsid w:val="22B3344A"/>
    <w:rsid w:val="22C3542A"/>
    <w:rsid w:val="22E916AC"/>
    <w:rsid w:val="23E93047"/>
    <w:rsid w:val="242E418A"/>
    <w:rsid w:val="243C4E62"/>
    <w:rsid w:val="24F20082"/>
    <w:rsid w:val="25714C8B"/>
    <w:rsid w:val="25863702"/>
    <w:rsid w:val="2630111A"/>
    <w:rsid w:val="263E7561"/>
    <w:rsid w:val="265867F4"/>
    <w:rsid w:val="26854051"/>
    <w:rsid w:val="26A2676C"/>
    <w:rsid w:val="26CF177E"/>
    <w:rsid w:val="2712692B"/>
    <w:rsid w:val="273C4DA6"/>
    <w:rsid w:val="276028A6"/>
    <w:rsid w:val="280E60D5"/>
    <w:rsid w:val="28452984"/>
    <w:rsid w:val="28783286"/>
    <w:rsid w:val="288E74A6"/>
    <w:rsid w:val="289C4569"/>
    <w:rsid w:val="28C332B8"/>
    <w:rsid w:val="29A701B4"/>
    <w:rsid w:val="2A9A12C8"/>
    <w:rsid w:val="2AA90FBC"/>
    <w:rsid w:val="2BBA320E"/>
    <w:rsid w:val="2BCE573E"/>
    <w:rsid w:val="2C410023"/>
    <w:rsid w:val="2CB85548"/>
    <w:rsid w:val="2D0F5755"/>
    <w:rsid w:val="2D5E6308"/>
    <w:rsid w:val="2DDC6980"/>
    <w:rsid w:val="2E1364F0"/>
    <w:rsid w:val="2E351C66"/>
    <w:rsid w:val="2F0B55F7"/>
    <w:rsid w:val="2F0E2C00"/>
    <w:rsid w:val="2F3B6D5A"/>
    <w:rsid w:val="2F6947E2"/>
    <w:rsid w:val="2F847CA8"/>
    <w:rsid w:val="2FB3176C"/>
    <w:rsid w:val="2FE41812"/>
    <w:rsid w:val="2FF179F3"/>
    <w:rsid w:val="30D561DD"/>
    <w:rsid w:val="311364BA"/>
    <w:rsid w:val="31190FA9"/>
    <w:rsid w:val="313501CA"/>
    <w:rsid w:val="31854C19"/>
    <w:rsid w:val="31AB554A"/>
    <w:rsid w:val="321662B1"/>
    <w:rsid w:val="32C9341A"/>
    <w:rsid w:val="333211B8"/>
    <w:rsid w:val="33AA4745"/>
    <w:rsid w:val="34C3680E"/>
    <w:rsid w:val="34F74E35"/>
    <w:rsid w:val="35654540"/>
    <w:rsid w:val="35852220"/>
    <w:rsid w:val="3591666F"/>
    <w:rsid w:val="35955A82"/>
    <w:rsid w:val="35C46E05"/>
    <w:rsid w:val="36616728"/>
    <w:rsid w:val="36742041"/>
    <w:rsid w:val="368643CC"/>
    <w:rsid w:val="373E11A0"/>
    <w:rsid w:val="377E67E5"/>
    <w:rsid w:val="37A22840"/>
    <w:rsid w:val="37CD610A"/>
    <w:rsid w:val="38645721"/>
    <w:rsid w:val="388451E2"/>
    <w:rsid w:val="389C4706"/>
    <w:rsid w:val="38C17FE3"/>
    <w:rsid w:val="38F401FF"/>
    <w:rsid w:val="396E4F55"/>
    <w:rsid w:val="398038C3"/>
    <w:rsid w:val="399E78AC"/>
    <w:rsid w:val="39A17949"/>
    <w:rsid w:val="3A2931B0"/>
    <w:rsid w:val="3A426F1C"/>
    <w:rsid w:val="3A567DB4"/>
    <w:rsid w:val="3AA25A1F"/>
    <w:rsid w:val="3ACD2F84"/>
    <w:rsid w:val="3AE7182B"/>
    <w:rsid w:val="3AFE0BC3"/>
    <w:rsid w:val="3B3D76DD"/>
    <w:rsid w:val="3BC45328"/>
    <w:rsid w:val="3BE54EA1"/>
    <w:rsid w:val="3BF8293A"/>
    <w:rsid w:val="3D1C5791"/>
    <w:rsid w:val="3D9669D7"/>
    <w:rsid w:val="3DA03702"/>
    <w:rsid w:val="3E277B0B"/>
    <w:rsid w:val="3E3005A2"/>
    <w:rsid w:val="3E595263"/>
    <w:rsid w:val="3E6E069F"/>
    <w:rsid w:val="3E8C2A3B"/>
    <w:rsid w:val="3EA92194"/>
    <w:rsid w:val="3F274A8A"/>
    <w:rsid w:val="3F541370"/>
    <w:rsid w:val="3F5C0FD3"/>
    <w:rsid w:val="3F703F67"/>
    <w:rsid w:val="40B9121F"/>
    <w:rsid w:val="420D641E"/>
    <w:rsid w:val="42B07649"/>
    <w:rsid w:val="433D1D1E"/>
    <w:rsid w:val="43546E35"/>
    <w:rsid w:val="4412562B"/>
    <w:rsid w:val="442554C0"/>
    <w:rsid w:val="445F70EA"/>
    <w:rsid w:val="44A77C8A"/>
    <w:rsid w:val="45C24F72"/>
    <w:rsid w:val="45DF556B"/>
    <w:rsid w:val="46897587"/>
    <w:rsid w:val="46AE261E"/>
    <w:rsid w:val="47900BCC"/>
    <w:rsid w:val="47AE3E01"/>
    <w:rsid w:val="481734F9"/>
    <w:rsid w:val="486328DC"/>
    <w:rsid w:val="489573EA"/>
    <w:rsid w:val="490B5C70"/>
    <w:rsid w:val="492242BA"/>
    <w:rsid w:val="4925522C"/>
    <w:rsid w:val="49394FA2"/>
    <w:rsid w:val="49591AD0"/>
    <w:rsid w:val="49B062E0"/>
    <w:rsid w:val="4A1F0985"/>
    <w:rsid w:val="4A650358"/>
    <w:rsid w:val="4AF43C89"/>
    <w:rsid w:val="4B2E539F"/>
    <w:rsid w:val="4B7E7190"/>
    <w:rsid w:val="4B8436AC"/>
    <w:rsid w:val="4B9425F5"/>
    <w:rsid w:val="4BA335AF"/>
    <w:rsid w:val="4BC94021"/>
    <w:rsid w:val="4BEB58D7"/>
    <w:rsid w:val="4C0809AB"/>
    <w:rsid w:val="4CFD3FE3"/>
    <w:rsid w:val="4D1C410B"/>
    <w:rsid w:val="4D354244"/>
    <w:rsid w:val="4DC43456"/>
    <w:rsid w:val="4DE168AA"/>
    <w:rsid w:val="4E3E2CEE"/>
    <w:rsid w:val="4EAA7AD3"/>
    <w:rsid w:val="4EAC571D"/>
    <w:rsid w:val="4EB42104"/>
    <w:rsid w:val="4EC56BAF"/>
    <w:rsid w:val="4EDB73FB"/>
    <w:rsid w:val="4EEC269E"/>
    <w:rsid w:val="4EED22AF"/>
    <w:rsid w:val="4F0056F6"/>
    <w:rsid w:val="4F0B2BF7"/>
    <w:rsid w:val="4F345D0C"/>
    <w:rsid w:val="4F483548"/>
    <w:rsid w:val="4F8A255C"/>
    <w:rsid w:val="4FD3060D"/>
    <w:rsid w:val="506C74D1"/>
    <w:rsid w:val="50CE67DD"/>
    <w:rsid w:val="50D4117E"/>
    <w:rsid w:val="51043EC0"/>
    <w:rsid w:val="51216EEC"/>
    <w:rsid w:val="512331A2"/>
    <w:rsid w:val="513554D1"/>
    <w:rsid w:val="513C5E30"/>
    <w:rsid w:val="5155754D"/>
    <w:rsid w:val="517D01D7"/>
    <w:rsid w:val="5271399A"/>
    <w:rsid w:val="5288331B"/>
    <w:rsid w:val="528B6069"/>
    <w:rsid w:val="52DF7207"/>
    <w:rsid w:val="534D5875"/>
    <w:rsid w:val="53625968"/>
    <w:rsid w:val="537A378B"/>
    <w:rsid w:val="53A95A46"/>
    <w:rsid w:val="53AC12DB"/>
    <w:rsid w:val="53C107B2"/>
    <w:rsid w:val="541371A6"/>
    <w:rsid w:val="54187B16"/>
    <w:rsid w:val="543F21A5"/>
    <w:rsid w:val="544C29A3"/>
    <w:rsid w:val="544E3685"/>
    <w:rsid w:val="55375941"/>
    <w:rsid w:val="559A2AA4"/>
    <w:rsid w:val="55E96352"/>
    <w:rsid w:val="56035DBF"/>
    <w:rsid w:val="562400EE"/>
    <w:rsid w:val="566937B9"/>
    <w:rsid w:val="56B700CF"/>
    <w:rsid w:val="576D52B4"/>
    <w:rsid w:val="57BC38B5"/>
    <w:rsid w:val="57C524CD"/>
    <w:rsid w:val="581561F7"/>
    <w:rsid w:val="582D12ED"/>
    <w:rsid w:val="58A17598"/>
    <w:rsid w:val="59255FF5"/>
    <w:rsid w:val="59956DB7"/>
    <w:rsid w:val="59C65A1B"/>
    <w:rsid w:val="5A0906A2"/>
    <w:rsid w:val="5A346F59"/>
    <w:rsid w:val="5A8C3B8F"/>
    <w:rsid w:val="5B7C273E"/>
    <w:rsid w:val="5BD0141B"/>
    <w:rsid w:val="5BE86194"/>
    <w:rsid w:val="5C5C55DD"/>
    <w:rsid w:val="5CAE5EDF"/>
    <w:rsid w:val="5CB63EB6"/>
    <w:rsid w:val="5CF722FD"/>
    <w:rsid w:val="5D6A14CE"/>
    <w:rsid w:val="5DBD5D29"/>
    <w:rsid w:val="5DBF2A2A"/>
    <w:rsid w:val="5DE44CF5"/>
    <w:rsid w:val="5E791C95"/>
    <w:rsid w:val="5EA3221D"/>
    <w:rsid w:val="5EA66F97"/>
    <w:rsid w:val="5ECD70DE"/>
    <w:rsid w:val="5F98766C"/>
    <w:rsid w:val="60243A9F"/>
    <w:rsid w:val="6038044C"/>
    <w:rsid w:val="60BD3573"/>
    <w:rsid w:val="610138D7"/>
    <w:rsid w:val="61032959"/>
    <w:rsid w:val="61254886"/>
    <w:rsid w:val="61271B65"/>
    <w:rsid w:val="613F7485"/>
    <w:rsid w:val="61460D3D"/>
    <w:rsid w:val="615E630F"/>
    <w:rsid w:val="620F05C1"/>
    <w:rsid w:val="623F5FB6"/>
    <w:rsid w:val="62950034"/>
    <w:rsid w:val="62BC7372"/>
    <w:rsid w:val="62CA77CE"/>
    <w:rsid w:val="6326497F"/>
    <w:rsid w:val="634C27BB"/>
    <w:rsid w:val="639A6186"/>
    <w:rsid w:val="63FB264E"/>
    <w:rsid w:val="64223B5D"/>
    <w:rsid w:val="64E73AB9"/>
    <w:rsid w:val="64F4112F"/>
    <w:rsid w:val="64FA2D12"/>
    <w:rsid w:val="65462941"/>
    <w:rsid w:val="65AB07A2"/>
    <w:rsid w:val="668E728D"/>
    <w:rsid w:val="66BC4289"/>
    <w:rsid w:val="66CC2299"/>
    <w:rsid w:val="66FF40B7"/>
    <w:rsid w:val="670A32E1"/>
    <w:rsid w:val="67174E5B"/>
    <w:rsid w:val="67B54AD6"/>
    <w:rsid w:val="67CC1E24"/>
    <w:rsid w:val="67E72AB0"/>
    <w:rsid w:val="68155795"/>
    <w:rsid w:val="682567EB"/>
    <w:rsid w:val="69155868"/>
    <w:rsid w:val="691E7675"/>
    <w:rsid w:val="69AC7F35"/>
    <w:rsid w:val="69DF2131"/>
    <w:rsid w:val="6A154812"/>
    <w:rsid w:val="6A1C73E6"/>
    <w:rsid w:val="6B7B482E"/>
    <w:rsid w:val="6BF77602"/>
    <w:rsid w:val="6C564D84"/>
    <w:rsid w:val="6CD31485"/>
    <w:rsid w:val="6D431A70"/>
    <w:rsid w:val="6D576D77"/>
    <w:rsid w:val="6D655BCB"/>
    <w:rsid w:val="6D672909"/>
    <w:rsid w:val="6D856832"/>
    <w:rsid w:val="6D8B7DF4"/>
    <w:rsid w:val="6DB62387"/>
    <w:rsid w:val="6DCE122D"/>
    <w:rsid w:val="6DED068F"/>
    <w:rsid w:val="6E2455A9"/>
    <w:rsid w:val="6ECD4AB5"/>
    <w:rsid w:val="6EF859C0"/>
    <w:rsid w:val="6F043537"/>
    <w:rsid w:val="6F3B5356"/>
    <w:rsid w:val="6FB00FAA"/>
    <w:rsid w:val="6FFD50BD"/>
    <w:rsid w:val="6FFD6A40"/>
    <w:rsid w:val="70336FAC"/>
    <w:rsid w:val="70627E2F"/>
    <w:rsid w:val="70D20B5B"/>
    <w:rsid w:val="70D513A6"/>
    <w:rsid w:val="71906080"/>
    <w:rsid w:val="71D01943"/>
    <w:rsid w:val="722C1143"/>
    <w:rsid w:val="72A75115"/>
    <w:rsid w:val="72D831E8"/>
    <w:rsid w:val="72E74E88"/>
    <w:rsid w:val="73722A02"/>
    <w:rsid w:val="73D9354B"/>
    <w:rsid w:val="74321829"/>
    <w:rsid w:val="747334C7"/>
    <w:rsid w:val="75594A37"/>
    <w:rsid w:val="75A27392"/>
    <w:rsid w:val="75BD2C10"/>
    <w:rsid w:val="761128FF"/>
    <w:rsid w:val="7637284B"/>
    <w:rsid w:val="76B946BB"/>
    <w:rsid w:val="76EE1771"/>
    <w:rsid w:val="770521A1"/>
    <w:rsid w:val="779241ED"/>
    <w:rsid w:val="77A56E63"/>
    <w:rsid w:val="77D9515B"/>
    <w:rsid w:val="78253E58"/>
    <w:rsid w:val="78374554"/>
    <w:rsid w:val="78652F7E"/>
    <w:rsid w:val="790441FA"/>
    <w:rsid w:val="79A612CD"/>
    <w:rsid w:val="79EC3D30"/>
    <w:rsid w:val="7A440E3A"/>
    <w:rsid w:val="7A634C72"/>
    <w:rsid w:val="7AA43AB3"/>
    <w:rsid w:val="7AB435A5"/>
    <w:rsid w:val="7B7A1A30"/>
    <w:rsid w:val="7BAF48F4"/>
    <w:rsid w:val="7BD3700E"/>
    <w:rsid w:val="7C083390"/>
    <w:rsid w:val="7CA12416"/>
    <w:rsid w:val="7D3A7C9B"/>
    <w:rsid w:val="7DE83159"/>
    <w:rsid w:val="7E46423F"/>
    <w:rsid w:val="7E7B0B46"/>
    <w:rsid w:val="7E7D69CA"/>
    <w:rsid w:val="7E972C2F"/>
    <w:rsid w:val="7E9E4F9D"/>
    <w:rsid w:val="7EA93DDB"/>
    <w:rsid w:val="7EF53C16"/>
    <w:rsid w:val="7FA761FA"/>
    <w:rsid w:val="7FBE282B"/>
    <w:rsid w:val="7F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200" w:firstLineChars="200"/>
    </w:pPr>
  </w:style>
  <w:style w:type="paragraph" w:styleId="5">
    <w:name w:val="annotation text"/>
    <w:basedOn w:val="1"/>
    <w:qFormat/>
    <w:uiPriority w:val="0"/>
    <w:pPr>
      <w:jc w:val="left"/>
    </w:pPr>
  </w:style>
  <w:style w:type="paragraph" w:styleId="6">
    <w:name w:val="Body Text 3"/>
    <w:basedOn w:val="1"/>
    <w:unhideWhenUsed/>
    <w:qFormat/>
    <w:uiPriority w:val="99"/>
    <w:pPr>
      <w:spacing w:after="120"/>
    </w:pPr>
    <w:rPr>
      <w:sz w:val="16"/>
      <w:szCs w:val="16"/>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2630</Words>
  <Characters>2860</Characters>
  <Lines>1</Lines>
  <Paragraphs>1</Paragraphs>
  <TotalTime>11</TotalTime>
  <ScaleCrop>false</ScaleCrop>
  <LinksUpToDate>false</LinksUpToDate>
  <CharactersWithSpaces>2880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WPS_911694258</cp:lastModifiedBy>
  <dcterms:modified xsi:type="dcterms:W3CDTF">2026-06-02T02:09:20Z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eyJoZGlkIjoiZWI2MGQyNzA1NzQ2MzllZmNjNzExNWJjOTc2OGJiYTIiLCJ1c2VySWQiOiI5MTE2OTQyNTgifQ==</vt:lpwstr>
  </property>
  <property fmtid="{D5CDD505-2E9C-101B-9397-08002B2CF9AE}" pid="4" name="ICV">
    <vt:lpwstr>77643339F47E4023A78ECE0057DF836E_13</vt:lpwstr>
  </property>
</Properties>
</file>