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46E41">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sz w:val="36"/>
          <w:szCs w:val="36"/>
          <w:vertAlign w:val="baseline"/>
          <w:lang w:val="en-US" w:eastAsia="zh-CN"/>
        </w:rPr>
      </w:pPr>
      <w:r>
        <w:rPr>
          <w:rFonts w:hint="eastAsia" w:ascii="宋体" w:hAnsi="宋体" w:eastAsia="宋体" w:cs="宋体"/>
          <w:b/>
          <w:bCs/>
          <w:sz w:val="36"/>
          <w:szCs w:val="36"/>
          <w:vertAlign w:val="baseline"/>
          <w:lang w:val="en-US" w:eastAsia="zh-CN"/>
        </w:rPr>
        <w:t>大邑县人民医院</w:t>
      </w:r>
    </w:p>
    <w:p w14:paraId="3C20F767">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sz w:val="36"/>
          <w:szCs w:val="36"/>
          <w:vertAlign w:val="baseline"/>
          <w:lang w:val="en-US" w:eastAsia="zh-CN"/>
        </w:rPr>
      </w:pPr>
      <w:r>
        <w:rPr>
          <w:rFonts w:hint="eastAsia" w:ascii="宋体" w:hAnsi="宋体" w:eastAsia="宋体" w:cs="宋体"/>
          <w:b/>
          <w:bCs/>
          <w:sz w:val="36"/>
          <w:szCs w:val="36"/>
          <w:vertAlign w:val="baseline"/>
          <w:lang w:val="en-US" w:eastAsia="zh-CN"/>
        </w:rPr>
        <w:t>离子交换树脂再生剂采购项目比选</w:t>
      </w:r>
      <w:r>
        <w:rPr>
          <w:rFonts w:hint="eastAsia" w:ascii="宋体" w:hAnsi="宋体" w:eastAsia="宋体" w:cs="宋体"/>
          <w:b/>
          <w:bCs/>
          <w:sz w:val="36"/>
          <w:szCs w:val="36"/>
          <w:vertAlign w:val="baseline"/>
          <w:lang w:eastAsia="zh-CN"/>
        </w:rPr>
        <w:t>文件</w:t>
      </w:r>
    </w:p>
    <w:p w14:paraId="797872E1">
      <w:pPr>
        <w:pStyle w:val="2"/>
        <w:rPr>
          <w:rFonts w:hint="eastAsia"/>
          <w:lang w:eastAsia="zh-CN"/>
        </w:rPr>
      </w:pPr>
    </w:p>
    <w:p w14:paraId="30EBA70F">
      <w:pPr>
        <w:keepNext w:val="0"/>
        <w:keepLines w:val="0"/>
        <w:pageBreakBefore w:val="0"/>
        <w:widowControl w:val="0"/>
        <w:kinsoku/>
        <w:wordWrap/>
        <w:overflowPunct/>
        <w:topLinePunct w:val="0"/>
        <w:autoSpaceDE/>
        <w:autoSpaceDN/>
        <w:bidi w:val="0"/>
        <w:adjustRightInd/>
        <w:snapToGrid/>
        <w:spacing w:after="0" w:line="360" w:lineRule="auto"/>
        <w:ind w:left="0"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一、项目名称：</w:t>
      </w:r>
      <w:r>
        <w:rPr>
          <w:rFonts w:hint="eastAsia" w:ascii="宋体" w:hAnsi="宋体" w:eastAsia="宋体" w:cs="宋体"/>
          <w:b w:val="0"/>
          <w:bCs w:val="0"/>
          <w:sz w:val="28"/>
          <w:szCs w:val="28"/>
          <w:u w:val="single"/>
          <w:lang w:val="en-US" w:eastAsia="zh-CN"/>
        </w:rPr>
        <w:t>离子交换树脂再生剂</w:t>
      </w:r>
      <w:r>
        <w:rPr>
          <w:rFonts w:hint="eastAsia" w:ascii="宋体" w:hAnsi="宋体" w:eastAsia="宋体" w:cs="宋体"/>
          <w:b w:val="0"/>
          <w:bCs w:val="0"/>
          <w:sz w:val="28"/>
          <w:szCs w:val="28"/>
          <w:u w:val="single"/>
        </w:rPr>
        <w:t>采购项目</w:t>
      </w:r>
    </w:p>
    <w:p w14:paraId="3522A906">
      <w:pPr>
        <w:pageBreakBefore w:val="0"/>
        <w:widowControl w:val="0"/>
        <w:kinsoku/>
        <w:wordWrap/>
        <w:overflowPunct/>
        <w:topLinePunct w:val="0"/>
        <w:autoSpaceDE/>
        <w:autoSpaceDN/>
        <w:bidi w:val="0"/>
        <w:adjustRightInd/>
        <w:snapToGrid/>
        <w:spacing w:after="0" w:line="360" w:lineRule="auto"/>
        <w:ind w:left="1926" w:leftChars="218" w:hanging="1446" w:hangingChars="600"/>
        <w:textAlignment w:val="auto"/>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二、项目预算：</w:t>
      </w:r>
      <w:r>
        <w:rPr>
          <w:rFonts w:hint="eastAsia" w:ascii="宋体" w:hAnsi="宋体" w:eastAsia="宋体" w:cs="宋体"/>
          <w:b w:val="0"/>
          <w:bCs w:val="0"/>
          <w:sz w:val="28"/>
          <w:szCs w:val="28"/>
          <w:u w:val="single"/>
          <w:lang w:val="en-US" w:eastAsia="zh-CN"/>
        </w:rPr>
        <w:t>3.9万元，据实结算。</w:t>
      </w:r>
      <w:bookmarkStart w:id="1" w:name="_GoBack"/>
      <w:bookmarkEnd w:id="1"/>
    </w:p>
    <w:p w14:paraId="245C6BCB">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三、产品清单</w:t>
      </w:r>
    </w:p>
    <w:tbl>
      <w:tblPr>
        <w:tblStyle w:val="10"/>
        <w:tblW w:w="8638" w:type="dxa"/>
        <w:tblInd w:w="0" w:type="dxa"/>
        <w:tblLayout w:type="fixed"/>
        <w:tblCellMar>
          <w:top w:w="0" w:type="dxa"/>
          <w:left w:w="108" w:type="dxa"/>
          <w:bottom w:w="0" w:type="dxa"/>
          <w:right w:w="108" w:type="dxa"/>
        </w:tblCellMar>
      </w:tblPr>
      <w:tblGrid>
        <w:gridCol w:w="853"/>
        <w:gridCol w:w="2025"/>
        <w:gridCol w:w="2190"/>
        <w:gridCol w:w="1515"/>
        <w:gridCol w:w="2055"/>
      </w:tblGrid>
      <w:tr w14:paraId="2BFB6382">
        <w:tblPrEx>
          <w:tblCellMar>
            <w:top w:w="0" w:type="dxa"/>
            <w:left w:w="108" w:type="dxa"/>
            <w:bottom w:w="0" w:type="dxa"/>
            <w:right w:w="108" w:type="dxa"/>
          </w:tblCellMar>
        </w:tblPrEx>
        <w:trPr>
          <w:trHeight w:val="985" w:hRule="atLeast"/>
        </w:trPr>
        <w:tc>
          <w:tcPr>
            <w:tcW w:w="853" w:type="dxa"/>
            <w:tcBorders>
              <w:top w:val="single" w:color="auto" w:sz="4" w:space="0"/>
              <w:left w:val="single" w:color="auto" w:sz="4" w:space="0"/>
              <w:bottom w:val="single" w:color="auto" w:sz="4" w:space="0"/>
              <w:right w:val="single" w:color="auto" w:sz="4" w:space="0"/>
            </w:tcBorders>
            <w:shd w:val="clear" w:color="000000" w:fill="FFFFFF"/>
            <w:vAlign w:val="center"/>
          </w:tcPr>
          <w:p w14:paraId="4E475167">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2025" w:type="dxa"/>
            <w:tcBorders>
              <w:top w:val="single" w:color="auto" w:sz="4" w:space="0"/>
              <w:left w:val="nil"/>
              <w:bottom w:val="single" w:color="auto" w:sz="4" w:space="0"/>
              <w:right w:val="single" w:color="auto" w:sz="4" w:space="0"/>
            </w:tcBorders>
            <w:shd w:val="clear" w:color="000000" w:fill="FFFFFF"/>
            <w:vAlign w:val="center"/>
          </w:tcPr>
          <w:p w14:paraId="6A4B43C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货物名称</w:t>
            </w:r>
          </w:p>
        </w:tc>
        <w:tc>
          <w:tcPr>
            <w:tcW w:w="2190" w:type="dxa"/>
            <w:tcBorders>
              <w:top w:val="single" w:color="auto" w:sz="4" w:space="0"/>
              <w:left w:val="nil"/>
              <w:bottom w:val="single" w:color="auto" w:sz="4" w:space="0"/>
              <w:right w:val="single" w:color="auto" w:sz="4" w:space="0"/>
            </w:tcBorders>
            <w:shd w:val="clear" w:color="000000" w:fill="FFFFFF"/>
            <w:vAlign w:val="center"/>
          </w:tcPr>
          <w:p w14:paraId="1AFD9717">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材质</w:t>
            </w:r>
          </w:p>
        </w:tc>
        <w:tc>
          <w:tcPr>
            <w:tcW w:w="1515" w:type="dxa"/>
            <w:tcBorders>
              <w:top w:val="single" w:color="auto" w:sz="4" w:space="0"/>
              <w:left w:val="nil"/>
              <w:bottom w:val="single" w:color="auto" w:sz="4" w:space="0"/>
              <w:right w:val="single" w:color="auto" w:sz="4" w:space="0"/>
            </w:tcBorders>
            <w:shd w:val="clear" w:color="000000" w:fill="FFFFFF"/>
            <w:vAlign w:val="center"/>
          </w:tcPr>
          <w:p w14:paraId="324239CF">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规格</w:t>
            </w:r>
          </w:p>
        </w:tc>
        <w:tc>
          <w:tcPr>
            <w:tcW w:w="2055" w:type="dxa"/>
            <w:tcBorders>
              <w:top w:val="single" w:color="auto" w:sz="4" w:space="0"/>
              <w:left w:val="nil"/>
              <w:bottom w:val="single" w:color="auto" w:sz="4" w:space="0"/>
              <w:right w:val="single" w:color="auto" w:sz="4" w:space="0"/>
            </w:tcBorders>
            <w:shd w:val="clear" w:color="000000" w:fill="FFFFFF"/>
            <w:vAlign w:val="center"/>
          </w:tcPr>
          <w:p w14:paraId="1350651D">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单价限价（元）</w:t>
            </w:r>
          </w:p>
        </w:tc>
      </w:tr>
      <w:tr w14:paraId="0DC6D121">
        <w:tblPrEx>
          <w:tblCellMar>
            <w:top w:w="0" w:type="dxa"/>
            <w:left w:w="108" w:type="dxa"/>
            <w:bottom w:w="0" w:type="dxa"/>
            <w:right w:w="108" w:type="dxa"/>
          </w:tblCellMar>
        </w:tblPrEx>
        <w:trPr>
          <w:trHeight w:val="1082" w:hRule="atLeast"/>
        </w:trPr>
        <w:tc>
          <w:tcPr>
            <w:tcW w:w="853" w:type="dxa"/>
            <w:tcBorders>
              <w:top w:val="single" w:color="auto" w:sz="4" w:space="0"/>
              <w:left w:val="single" w:color="auto" w:sz="4" w:space="0"/>
              <w:bottom w:val="single" w:color="auto" w:sz="4" w:space="0"/>
              <w:right w:val="single" w:color="auto" w:sz="4" w:space="0"/>
            </w:tcBorders>
            <w:shd w:val="clear" w:color="000000" w:fill="FFFFFF"/>
            <w:vAlign w:val="center"/>
          </w:tcPr>
          <w:p w14:paraId="1E51404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2025" w:type="dxa"/>
            <w:tcBorders>
              <w:top w:val="single" w:color="auto" w:sz="4" w:space="0"/>
              <w:left w:val="nil"/>
              <w:bottom w:val="single" w:color="auto" w:sz="4" w:space="0"/>
              <w:right w:val="single" w:color="auto" w:sz="4" w:space="0"/>
            </w:tcBorders>
            <w:shd w:val="clear" w:color="000000" w:fill="FFFFFF"/>
            <w:vAlign w:val="center"/>
          </w:tcPr>
          <w:p w14:paraId="533A0144">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离子交换树脂再生剂</w:t>
            </w:r>
          </w:p>
        </w:tc>
        <w:tc>
          <w:tcPr>
            <w:tcW w:w="2190" w:type="dxa"/>
            <w:tcBorders>
              <w:top w:val="single" w:color="auto" w:sz="4" w:space="0"/>
              <w:left w:val="nil"/>
              <w:bottom w:val="single" w:color="auto" w:sz="4" w:space="0"/>
              <w:right w:val="single" w:color="auto" w:sz="4" w:space="0"/>
            </w:tcBorders>
            <w:shd w:val="clear" w:color="000000" w:fill="FFFFFF"/>
            <w:vAlign w:val="center"/>
          </w:tcPr>
          <w:p w14:paraId="6FD8F0A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精制盐（片剂）</w:t>
            </w:r>
          </w:p>
        </w:tc>
        <w:tc>
          <w:tcPr>
            <w:tcW w:w="1515" w:type="dxa"/>
            <w:tcBorders>
              <w:top w:val="single" w:color="auto" w:sz="4" w:space="0"/>
              <w:left w:val="nil"/>
              <w:bottom w:val="single" w:color="auto" w:sz="4" w:space="0"/>
              <w:right w:val="single" w:color="auto" w:sz="4" w:space="0"/>
            </w:tcBorders>
            <w:shd w:val="clear" w:color="000000" w:fill="FFFFFF"/>
            <w:vAlign w:val="center"/>
          </w:tcPr>
          <w:p w14:paraId="1208728F">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10kg/包</w:t>
            </w:r>
          </w:p>
        </w:tc>
        <w:tc>
          <w:tcPr>
            <w:tcW w:w="2055" w:type="dxa"/>
            <w:tcBorders>
              <w:top w:val="single" w:color="auto" w:sz="4" w:space="0"/>
              <w:left w:val="nil"/>
              <w:bottom w:val="single" w:color="auto" w:sz="4" w:space="0"/>
              <w:right w:val="single" w:color="auto" w:sz="4" w:space="0"/>
            </w:tcBorders>
            <w:shd w:val="clear" w:color="000000" w:fill="FFFFFF"/>
            <w:vAlign w:val="center"/>
          </w:tcPr>
          <w:p w14:paraId="32F0284E">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26.75</w:t>
            </w:r>
          </w:p>
        </w:tc>
      </w:tr>
    </w:tbl>
    <w:p w14:paraId="51B7AC92">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0"/>
          <w:sz w:val="24"/>
          <w:lang w:val="en-US" w:eastAsia="zh-CN"/>
        </w:rPr>
      </w:pPr>
    </w:p>
    <w:p w14:paraId="0F4564F5">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default" w:ascii="仿宋" w:hAnsi="仿宋" w:eastAsia="仿宋"/>
          <w:b/>
          <w:sz w:val="24"/>
          <w:lang w:val="en-US" w:eastAsia="zh-CN"/>
        </w:rPr>
      </w:pPr>
      <w:r>
        <w:rPr>
          <w:rFonts w:hint="eastAsia" w:ascii="宋体" w:hAnsi="宋体" w:eastAsia="宋体" w:cs="宋体"/>
          <w:b/>
          <w:sz w:val="24"/>
          <w:lang w:val="en-US" w:eastAsia="zh-CN"/>
        </w:rPr>
        <w:t>四、技术要求</w:t>
      </w:r>
    </w:p>
    <w:tbl>
      <w:tblPr>
        <w:tblStyle w:val="11"/>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4233"/>
        <w:gridCol w:w="3362"/>
      </w:tblGrid>
      <w:tr w14:paraId="384F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61" w:type="dxa"/>
            <w:vAlign w:val="center"/>
          </w:tcPr>
          <w:p w14:paraId="332C8891">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4233" w:type="dxa"/>
            <w:vAlign w:val="center"/>
          </w:tcPr>
          <w:p w14:paraId="4182BBB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项目</w:t>
            </w:r>
          </w:p>
        </w:tc>
        <w:tc>
          <w:tcPr>
            <w:tcW w:w="3362" w:type="dxa"/>
            <w:vAlign w:val="center"/>
          </w:tcPr>
          <w:p w14:paraId="266BDE3C">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rPr>
            </w:pPr>
            <w:r>
              <w:rPr>
                <w:rFonts w:ascii="宋体" w:hAnsi="宋体" w:eastAsia="宋体" w:cs="黑体"/>
                <w:color w:val="000000"/>
                <w:kern w:val="0"/>
                <w:sz w:val="21"/>
                <w:szCs w:val="21"/>
              </w:rPr>
              <w:t>▲</w:t>
            </w:r>
            <w:r>
              <w:rPr>
                <w:rFonts w:hint="eastAsia" w:ascii="宋体" w:hAnsi="宋体" w:eastAsia="宋体" w:cs="宋体"/>
                <w:b/>
                <w:bCs/>
                <w:sz w:val="24"/>
                <w:szCs w:val="24"/>
                <w:vertAlign w:val="baseline"/>
              </w:rPr>
              <w:t>技术</w:t>
            </w:r>
            <w:r>
              <w:rPr>
                <w:rFonts w:hint="eastAsia" w:ascii="宋体" w:hAnsi="宋体" w:eastAsia="宋体" w:cs="宋体"/>
                <w:b/>
                <w:bCs/>
                <w:sz w:val="24"/>
                <w:szCs w:val="24"/>
                <w:vertAlign w:val="baseline"/>
                <w:lang w:val="en-US" w:eastAsia="zh-CN"/>
              </w:rPr>
              <w:t>参数</w:t>
            </w:r>
            <w:r>
              <w:rPr>
                <w:rFonts w:hint="eastAsia" w:ascii="宋体" w:hAnsi="宋体" w:eastAsia="宋体" w:cs="宋体"/>
                <w:b/>
                <w:bCs/>
                <w:sz w:val="24"/>
                <w:szCs w:val="24"/>
                <w:vertAlign w:val="baseline"/>
              </w:rPr>
              <w:t>要求</w:t>
            </w:r>
          </w:p>
        </w:tc>
      </w:tr>
      <w:tr w14:paraId="6FDD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261" w:type="dxa"/>
            <w:vAlign w:val="center"/>
          </w:tcPr>
          <w:p w14:paraId="3F837D3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4233" w:type="dxa"/>
            <w:vAlign w:val="center"/>
          </w:tcPr>
          <w:p w14:paraId="220F74E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感观指标</w:t>
            </w:r>
          </w:p>
        </w:tc>
        <w:tc>
          <w:tcPr>
            <w:tcW w:w="3362" w:type="dxa"/>
            <w:vAlign w:val="center"/>
          </w:tcPr>
          <w:p w14:paraId="420DE19C">
            <w:pPr>
              <w:pStyle w:val="15"/>
              <w:widowControl w:val="0"/>
              <w:jc w:val="left"/>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bidi="ar-SA"/>
              </w:rPr>
              <w:t>白色、片状颗粒、味咸、无异味、无肉眼可见外来杂质。</w:t>
            </w:r>
          </w:p>
        </w:tc>
      </w:tr>
      <w:tr w14:paraId="19F9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61" w:type="dxa"/>
            <w:vAlign w:val="center"/>
          </w:tcPr>
          <w:p w14:paraId="0C697623">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4233" w:type="dxa"/>
            <w:vAlign w:val="center"/>
          </w:tcPr>
          <w:p w14:paraId="4E5C99D7">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氯化钠(湿基)</w:t>
            </w:r>
            <w:r>
              <w:rPr>
                <w:rFonts w:hint="eastAsia" w:ascii="宋体" w:hAnsi="宋体" w:eastAsia="宋体" w:cs="宋体"/>
                <w:sz w:val="24"/>
                <w:szCs w:val="24"/>
                <w:vertAlign w:val="baseline"/>
                <w:lang w:eastAsia="zh-CN"/>
              </w:rPr>
              <w:t>（以</w:t>
            </w:r>
            <w:r>
              <w:rPr>
                <w:rFonts w:hint="eastAsia" w:ascii="宋体" w:hAnsi="宋体" w:eastAsia="宋体" w:cs="宋体"/>
                <w:sz w:val="24"/>
                <w:szCs w:val="24"/>
                <w:vertAlign w:val="baseline"/>
              </w:rPr>
              <w:t>NaCl计</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g/100g≥</w:t>
            </w:r>
          </w:p>
        </w:tc>
        <w:tc>
          <w:tcPr>
            <w:tcW w:w="3362" w:type="dxa"/>
            <w:vAlign w:val="center"/>
          </w:tcPr>
          <w:p w14:paraId="367DB7E1">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99.5</w:t>
            </w:r>
          </w:p>
        </w:tc>
      </w:tr>
      <w:tr w14:paraId="41D2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261" w:type="dxa"/>
            <w:vAlign w:val="center"/>
          </w:tcPr>
          <w:p w14:paraId="0601E69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4233" w:type="dxa"/>
            <w:vAlign w:val="center"/>
          </w:tcPr>
          <w:p w14:paraId="6942E718">
            <w:pPr>
              <w:keepNext w:val="0"/>
              <w:keepLines w:val="0"/>
              <w:pageBreakBefore w:val="0"/>
              <w:widowControl/>
              <w:kinsoku/>
              <w:wordWrap/>
              <w:overflowPunct/>
              <w:topLinePunct w:val="0"/>
              <w:autoSpaceDE/>
              <w:autoSpaceDN/>
              <w:bidi w:val="0"/>
              <w:adjustRightInd w:val="0"/>
              <w:snapToGrid w:val="0"/>
              <w:spacing w:after="0" w:line="400" w:lineRule="exact"/>
              <w:ind w:firstLine="226" w:firstLineChars="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水分(湿基)g/100g≤</w:t>
            </w:r>
          </w:p>
        </w:tc>
        <w:tc>
          <w:tcPr>
            <w:tcW w:w="3362" w:type="dxa"/>
            <w:vAlign w:val="center"/>
          </w:tcPr>
          <w:p w14:paraId="5043399B">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0.30</w:t>
            </w:r>
          </w:p>
        </w:tc>
      </w:tr>
      <w:tr w14:paraId="56D3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61" w:type="dxa"/>
            <w:vAlign w:val="center"/>
          </w:tcPr>
          <w:p w14:paraId="6DC86DE4">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4233" w:type="dxa"/>
            <w:vAlign w:val="center"/>
          </w:tcPr>
          <w:p w14:paraId="42A623FB">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水不溶物(湿基)g/100g≤</w:t>
            </w:r>
          </w:p>
        </w:tc>
        <w:tc>
          <w:tcPr>
            <w:tcW w:w="3362" w:type="dxa"/>
            <w:vAlign w:val="center"/>
          </w:tcPr>
          <w:p w14:paraId="63F640FD">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0.03</w:t>
            </w:r>
          </w:p>
        </w:tc>
      </w:tr>
      <w:tr w14:paraId="0C0B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61" w:type="dxa"/>
            <w:vAlign w:val="center"/>
          </w:tcPr>
          <w:p w14:paraId="4F2723B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4233" w:type="dxa"/>
            <w:vAlign w:val="center"/>
          </w:tcPr>
          <w:p w14:paraId="3151E05E">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硫酸根g/100g≤</w:t>
            </w:r>
          </w:p>
        </w:tc>
        <w:tc>
          <w:tcPr>
            <w:tcW w:w="3362" w:type="dxa"/>
            <w:vAlign w:val="center"/>
          </w:tcPr>
          <w:p w14:paraId="75CF4F3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0.30</w:t>
            </w:r>
          </w:p>
        </w:tc>
      </w:tr>
      <w:tr w14:paraId="5203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61" w:type="dxa"/>
            <w:vAlign w:val="center"/>
          </w:tcPr>
          <w:p w14:paraId="55EE9754">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4233" w:type="dxa"/>
            <w:vAlign w:val="center"/>
          </w:tcPr>
          <w:p w14:paraId="7A99903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铅(以Pb计)mg/kg≤</w:t>
            </w:r>
          </w:p>
        </w:tc>
        <w:tc>
          <w:tcPr>
            <w:tcW w:w="3362" w:type="dxa"/>
            <w:vAlign w:val="center"/>
          </w:tcPr>
          <w:p w14:paraId="723F8FBF">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2.0</w:t>
            </w:r>
          </w:p>
        </w:tc>
      </w:tr>
      <w:tr w14:paraId="630F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61" w:type="dxa"/>
            <w:vAlign w:val="center"/>
          </w:tcPr>
          <w:p w14:paraId="298FEA50">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4233" w:type="dxa"/>
            <w:vAlign w:val="center"/>
          </w:tcPr>
          <w:p w14:paraId="3265A16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总砷(以As计)mg/kg≤</w:t>
            </w:r>
          </w:p>
        </w:tc>
        <w:tc>
          <w:tcPr>
            <w:tcW w:w="3362" w:type="dxa"/>
            <w:vAlign w:val="center"/>
          </w:tcPr>
          <w:p w14:paraId="3E07060B">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0.5</w:t>
            </w:r>
          </w:p>
        </w:tc>
      </w:tr>
      <w:tr w14:paraId="46DF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61" w:type="dxa"/>
            <w:vAlign w:val="center"/>
          </w:tcPr>
          <w:p w14:paraId="768AF21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4233" w:type="dxa"/>
            <w:vAlign w:val="center"/>
          </w:tcPr>
          <w:p w14:paraId="3B7EA4D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镉(以Cd计)mg/kg≤</w:t>
            </w:r>
          </w:p>
        </w:tc>
        <w:tc>
          <w:tcPr>
            <w:tcW w:w="3362" w:type="dxa"/>
            <w:vAlign w:val="center"/>
          </w:tcPr>
          <w:p w14:paraId="70ED1424">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0.5</w:t>
            </w:r>
          </w:p>
        </w:tc>
      </w:tr>
      <w:tr w14:paraId="4564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61" w:type="dxa"/>
            <w:vAlign w:val="center"/>
          </w:tcPr>
          <w:p w14:paraId="7A7F3740">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4233" w:type="dxa"/>
            <w:vAlign w:val="center"/>
          </w:tcPr>
          <w:p w14:paraId="348E783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总汞(以Hg计)mg/kg≤</w:t>
            </w:r>
          </w:p>
        </w:tc>
        <w:tc>
          <w:tcPr>
            <w:tcW w:w="3362" w:type="dxa"/>
            <w:vAlign w:val="center"/>
          </w:tcPr>
          <w:p w14:paraId="15B0216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0.1</w:t>
            </w:r>
          </w:p>
        </w:tc>
      </w:tr>
      <w:tr w14:paraId="2346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61" w:type="dxa"/>
            <w:vAlign w:val="center"/>
          </w:tcPr>
          <w:p w14:paraId="36A68DA7">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4233" w:type="dxa"/>
            <w:vAlign w:val="center"/>
          </w:tcPr>
          <w:p w14:paraId="32AB2A9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钡(以Ba计)mg/kg≤</w:t>
            </w:r>
          </w:p>
        </w:tc>
        <w:tc>
          <w:tcPr>
            <w:tcW w:w="3362" w:type="dxa"/>
            <w:vAlign w:val="center"/>
          </w:tcPr>
          <w:p w14:paraId="6A8FAB4D">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r>
    </w:tbl>
    <w:p w14:paraId="150CF863">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五、申请人参加本次比选活动，应当具备下列条件：</w:t>
      </w:r>
    </w:p>
    <w:p w14:paraId="7BDF0D1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1.具有独立承担民事责任的能力；</w:t>
      </w:r>
    </w:p>
    <w:p w14:paraId="391D09D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2.具有良好的商业信誉和健全的财务会计制度；</w:t>
      </w:r>
    </w:p>
    <w:p w14:paraId="56A9D77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3.具有履行合同所必需的设备和专业技术能力；</w:t>
      </w:r>
    </w:p>
    <w:p w14:paraId="7C26AB9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4.具有依法缴纳税收和社会保障资金的良好记录；</w:t>
      </w:r>
    </w:p>
    <w:p w14:paraId="3C530A6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5.参加本次比选活动前三年内，在经营活动中没有重大违法记录；未处于财产被接管、冻结、破产状态，未处于有关行政处罚期间，未处于投标禁入期内。</w:t>
      </w:r>
    </w:p>
    <w:p w14:paraId="7AC2D27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6.法律、行政法规规定的其他条件：</w:t>
      </w:r>
    </w:p>
    <w:p w14:paraId="0BBB34F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6.1单位负责人为同一人或者存在直接控股、管理关系的不同比选申请人，不得参加同一合同项下的比选活动。</w:t>
      </w:r>
    </w:p>
    <w:p w14:paraId="29EFA91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6.2供应商单位及其法定代表人、主要负责人不得具有行贿犯罪记录。</w:t>
      </w:r>
    </w:p>
    <w:p w14:paraId="3B3006A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6.3拒绝列入失信被执行人、重大税收违法案件当事人名单、政府采购严重违法失信行为记录名单的比选申请人参加本次比选活动；</w:t>
      </w:r>
    </w:p>
    <w:p w14:paraId="7DA7AA2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7.本项目不接受联合体参加比选。</w:t>
      </w:r>
    </w:p>
    <w:p w14:paraId="2123D30A">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sz w:val="24"/>
          <w:szCs w:val="24"/>
          <w:lang w:eastAsia="zh-CN"/>
        </w:rPr>
      </w:pPr>
      <w:r>
        <w:rPr>
          <w:rFonts w:hint="eastAsia" w:ascii="宋体" w:hAnsi="宋体" w:eastAsia="宋体" w:cs="宋体"/>
          <w:kern w:val="0"/>
          <w:sz w:val="24"/>
          <w:lang w:val="en-US" w:eastAsia="zh-CN"/>
        </w:rPr>
        <w:t>★</w:t>
      </w:r>
      <w:r>
        <w:rPr>
          <w:rFonts w:hint="eastAsia" w:ascii="宋体" w:hAnsi="宋体" w:eastAsia="宋体" w:cs="宋体"/>
          <w:sz w:val="24"/>
          <w:szCs w:val="24"/>
          <w:lang w:val="en-US" w:eastAsia="zh-CN"/>
        </w:rPr>
        <w:t>六、</w:t>
      </w:r>
      <w:r>
        <w:rPr>
          <w:rFonts w:hint="eastAsia" w:ascii="宋体" w:hAnsi="宋体" w:eastAsia="宋体" w:cs="宋体"/>
          <w:sz w:val="24"/>
          <w:szCs w:val="24"/>
          <w:lang w:eastAsia="zh-CN"/>
        </w:rPr>
        <w:t>商务要求</w:t>
      </w:r>
    </w:p>
    <w:p w14:paraId="080FAFD0">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1.服务地点：大邑县人民医院（所有院区）。</w:t>
      </w:r>
    </w:p>
    <w:p w14:paraId="71E84F4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Cs/>
          <w:sz w:val="24"/>
          <w:szCs w:val="22"/>
        </w:rPr>
      </w:pPr>
      <w:r>
        <w:rPr>
          <w:rFonts w:hint="eastAsia" w:ascii="??" w:hAnsi="??" w:cs="??"/>
          <w:bCs/>
          <w:sz w:val="24"/>
          <w:szCs w:val="22"/>
          <w:lang w:val="en-US" w:eastAsia="zh-CN"/>
        </w:rPr>
        <w:t>2</w:t>
      </w:r>
      <w:r>
        <w:rPr>
          <w:rFonts w:ascii="??" w:hAnsi="??" w:cs="??"/>
          <w:bCs/>
          <w:sz w:val="24"/>
          <w:szCs w:val="22"/>
        </w:rPr>
        <w:t>.</w:t>
      </w:r>
      <w:r>
        <w:rPr>
          <w:rFonts w:hint="eastAsia" w:ascii="宋体" w:hAnsi="宋体" w:eastAsia="宋体" w:cs="宋体"/>
          <w:bCs/>
          <w:sz w:val="24"/>
          <w:szCs w:val="22"/>
        </w:rPr>
        <w:t>付款方法和条件：</w:t>
      </w:r>
      <w:r>
        <w:rPr>
          <w:rFonts w:hint="eastAsia" w:ascii="宋体" w:hAnsi="宋体" w:eastAsia="宋体" w:cs="宋体"/>
          <w:bCs/>
          <w:sz w:val="24"/>
          <w:szCs w:val="22"/>
          <w:lang w:eastAsia="zh-CN"/>
        </w:rPr>
        <w:t>合同签订后根据</w:t>
      </w:r>
      <w:r>
        <w:rPr>
          <w:rFonts w:hint="eastAsia" w:ascii="宋体" w:hAnsi="宋体" w:eastAsia="宋体" w:cs="宋体"/>
          <w:bCs/>
          <w:sz w:val="24"/>
          <w:szCs w:val="22"/>
          <w:lang w:val="en-US" w:eastAsia="zh-CN"/>
        </w:rPr>
        <w:t>采购人每次通知的需求量</w:t>
      </w:r>
      <w:r>
        <w:rPr>
          <w:rFonts w:hint="eastAsia" w:ascii="宋体" w:hAnsi="宋体" w:eastAsia="宋体" w:cs="宋体"/>
          <w:bCs/>
          <w:sz w:val="24"/>
          <w:szCs w:val="22"/>
          <w:lang w:eastAsia="zh-CN"/>
        </w:rPr>
        <w:t>供货，</w:t>
      </w:r>
      <w:r>
        <w:rPr>
          <w:rFonts w:hint="default" w:ascii="宋体" w:hAnsi="宋体" w:eastAsia="宋体" w:cs="宋体"/>
          <w:bCs/>
          <w:sz w:val="24"/>
          <w:szCs w:val="22"/>
          <w:lang w:val="en-US" w:eastAsia="zh-Hans"/>
        </w:rPr>
        <w:t>货物运至</w:t>
      </w:r>
      <w:r>
        <w:rPr>
          <w:rFonts w:hint="eastAsia" w:ascii="宋体" w:hAnsi="宋体" w:eastAsia="宋体" w:cs="宋体"/>
          <w:bCs/>
          <w:sz w:val="24"/>
          <w:szCs w:val="22"/>
          <w:lang w:val="en-US" w:eastAsia="zh-CN"/>
        </w:rPr>
        <w:t>采购人</w:t>
      </w:r>
      <w:r>
        <w:rPr>
          <w:rFonts w:hint="default" w:ascii="宋体" w:hAnsi="宋体" w:eastAsia="宋体" w:cs="宋体"/>
          <w:bCs/>
          <w:sz w:val="24"/>
          <w:szCs w:val="22"/>
          <w:lang w:val="en-US" w:eastAsia="zh-Hans"/>
        </w:rPr>
        <w:t>指定地点</w:t>
      </w:r>
      <w:r>
        <w:rPr>
          <w:rFonts w:hint="eastAsia" w:ascii="宋体" w:hAnsi="宋体" w:eastAsia="宋体" w:cs="宋体"/>
          <w:bCs/>
          <w:sz w:val="24"/>
          <w:szCs w:val="22"/>
          <w:lang w:val="en-US" w:eastAsia="zh-CN"/>
        </w:rPr>
        <w:t>，每批次</w:t>
      </w:r>
      <w:r>
        <w:rPr>
          <w:rFonts w:hint="eastAsia" w:ascii="宋体" w:hAnsi="宋体" w:eastAsia="宋体" w:cs="宋体"/>
          <w:bCs/>
          <w:sz w:val="24"/>
          <w:szCs w:val="22"/>
        </w:rPr>
        <w:t>经</w:t>
      </w:r>
      <w:r>
        <w:rPr>
          <w:rFonts w:hint="eastAsia" w:ascii="宋体" w:hAnsi="宋体" w:eastAsia="宋体" w:cs="宋体"/>
          <w:bCs/>
          <w:sz w:val="24"/>
          <w:szCs w:val="22"/>
          <w:lang w:val="en-US" w:eastAsia="zh-CN"/>
        </w:rPr>
        <w:t>采购人验收</w:t>
      </w:r>
      <w:r>
        <w:rPr>
          <w:rFonts w:hint="eastAsia" w:ascii="宋体" w:hAnsi="宋体" w:eastAsia="宋体" w:cs="宋体"/>
          <w:bCs/>
          <w:sz w:val="24"/>
          <w:szCs w:val="22"/>
        </w:rPr>
        <w:t>无误后</w:t>
      </w:r>
      <w:r>
        <w:rPr>
          <w:rFonts w:hint="eastAsia" w:ascii="宋体" w:hAnsi="宋体" w:eastAsia="宋体" w:cs="宋体"/>
          <w:bCs/>
          <w:sz w:val="24"/>
          <w:szCs w:val="22"/>
          <w:lang w:eastAsia="zh-CN"/>
        </w:rPr>
        <w:t>，</w:t>
      </w:r>
      <w:r>
        <w:rPr>
          <w:rFonts w:hint="eastAsia" w:ascii="宋体" w:hAnsi="宋体" w:eastAsia="宋体" w:cs="宋体"/>
          <w:sz w:val="24"/>
          <w:szCs w:val="24"/>
        </w:rPr>
        <w:t>成交</w:t>
      </w:r>
      <w:r>
        <w:rPr>
          <w:rFonts w:hint="eastAsia" w:ascii="宋体" w:hAnsi="宋体" w:eastAsia="宋体" w:cs="宋体"/>
          <w:bCs/>
          <w:sz w:val="24"/>
          <w:szCs w:val="22"/>
          <w:lang w:val="en-US" w:eastAsia="zh-CN"/>
        </w:rPr>
        <w:t>供应商</w:t>
      </w:r>
      <w:r>
        <w:rPr>
          <w:rFonts w:hint="eastAsia" w:ascii="宋体" w:hAnsi="宋体" w:eastAsia="宋体" w:cs="宋体"/>
          <w:bCs/>
          <w:sz w:val="24"/>
          <w:szCs w:val="22"/>
        </w:rPr>
        <w:t>需向</w:t>
      </w:r>
      <w:r>
        <w:rPr>
          <w:rFonts w:hint="eastAsia" w:ascii="宋体" w:hAnsi="宋体" w:eastAsia="宋体" w:cs="宋体"/>
          <w:bCs/>
          <w:sz w:val="24"/>
          <w:szCs w:val="22"/>
          <w:lang w:val="en-US" w:eastAsia="zh-CN"/>
        </w:rPr>
        <w:t>采购人</w:t>
      </w:r>
      <w:r>
        <w:rPr>
          <w:rFonts w:hint="eastAsia" w:ascii="宋体" w:hAnsi="宋体" w:eastAsia="宋体" w:cs="宋体"/>
          <w:bCs/>
          <w:sz w:val="24"/>
          <w:szCs w:val="22"/>
        </w:rPr>
        <w:t>提供正式纳税发票</w:t>
      </w:r>
      <w:r>
        <w:rPr>
          <w:rFonts w:hint="eastAsia" w:ascii="宋体" w:hAnsi="宋体" w:eastAsia="宋体" w:cs="宋体"/>
          <w:bCs/>
          <w:sz w:val="24"/>
          <w:szCs w:val="22"/>
          <w:lang w:val="en-US" w:eastAsia="zh-CN"/>
        </w:rPr>
        <w:t>，按照采购方的支付流程以转账的方式支付，</w:t>
      </w:r>
      <w:r>
        <w:rPr>
          <w:rFonts w:hint="eastAsia" w:ascii="宋体" w:hAnsi="宋体" w:eastAsia="宋体" w:cs="宋体"/>
          <w:bCs/>
          <w:sz w:val="24"/>
          <w:szCs w:val="22"/>
        </w:rPr>
        <w:t>结算时间可按每</w:t>
      </w:r>
      <w:r>
        <w:rPr>
          <w:rFonts w:hint="eastAsia" w:ascii="宋体" w:hAnsi="宋体" w:eastAsia="宋体" w:cs="宋体"/>
          <w:bCs/>
          <w:sz w:val="24"/>
          <w:szCs w:val="22"/>
          <w:lang w:val="en-US" w:eastAsia="zh-CN"/>
        </w:rPr>
        <w:t>月据实结算</w:t>
      </w:r>
      <w:r>
        <w:rPr>
          <w:rFonts w:hint="eastAsia" w:ascii="宋体" w:hAnsi="宋体" w:eastAsia="宋体" w:cs="宋体"/>
          <w:bCs/>
          <w:sz w:val="24"/>
          <w:szCs w:val="22"/>
        </w:rPr>
        <w:t>。</w:t>
      </w:r>
    </w:p>
    <w:p w14:paraId="5EF462B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lang w:val="en-US" w:eastAsia="zh-CN"/>
        </w:rPr>
      </w:pPr>
      <w:r>
        <w:rPr>
          <w:rFonts w:hint="eastAsia" w:ascii="宋体" w:hAnsi="宋体" w:eastAsia="宋体" w:cs="宋体"/>
          <w:sz w:val="24"/>
          <w:szCs w:val="24"/>
          <w:lang w:val="en-US" w:eastAsia="zh-CN"/>
        </w:rPr>
        <w:t>3.运输装卸</w:t>
      </w:r>
      <w:r>
        <w:rPr>
          <w:rFonts w:hint="eastAsia" w:ascii="宋体" w:hAnsi="宋体" w:eastAsia="宋体" w:cs="宋体"/>
          <w:sz w:val="24"/>
          <w:szCs w:val="24"/>
        </w:rPr>
        <w:t>：成交供应商</w:t>
      </w:r>
      <w:r>
        <w:rPr>
          <w:rFonts w:hint="eastAsia" w:ascii="宋体" w:hAnsi="宋体" w:eastAsia="宋体" w:cs="宋体"/>
          <w:sz w:val="24"/>
          <w:szCs w:val="24"/>
          <w:lang w:val="en-US" w:eastAsia="zh-CN"/>
        </w:rPr>
        <w:t>根据采购人每次的需求量</w:t>
      </w:r>
      <w:r>
        <w:rPr>
          <w:rFonts w:hint="eastAsia" w:ascii="宋体" w:hAnsi="宋体" w:eastAsia="宋体" w:cs="宋体"/>
          <w:sz w:val="24"/>
          <w:szCs w:val="24"/>
        </w:rPr>
        <w:t>负责</w:t>
      </w:r>
      <w:r>
        <w:rPr>
          <w:rFonts w:hint="eastAsia" w:ascii="宋体" w:hAnsi="宋体" w:eastAsia="宋体" w:cs="宋体"/>
          <w:sz w:val="24"/>
          <w:szCs w:val="24"/>
          <w:lang w:eastAsia="zh-CN"/>
        </w:rPr>
        <w:t>货物的运输，</w:t>
      </w:r>
      <w:r>
        <w:rPr>
          <w:rFonts w:hint="eastAsia" w:ascii="宋体" w:hAnsi="宋体" w:eastAsia="宋体" w:cs="宋体"/>
          <w:sz w:val="24"/>
          <w:szCs w:val="24"/>
        </w:rPr>
        <w:t>货物到达现场后，成交供应商组织</w:t>
      </w:r>
      <w:r>
        <w:rPr>
          <w:rFonts w:hint="eastAsia" w:ascii="宋体" w:hAnsi="宋体" w:eastAsia="宋体" w:cs="宋体"/>
          <w:sz w:val="24"/>
          <w:szCs w:val="24"/>
          <w:lang w:eastAsia="zh-CN"/>
        </w:rPr>
        <w:t>装卸货物，搬运到采购人指定位置，</w:t>
      </w:r>
      <w:r>
        <w:rPr>
          <w:rFonts w:hint="eastAsia" w:ascii="宋体" w:hAnsi="宋体" w:eastAsia="宋体" w:cs="宋体"/>
          <w:sz w:val="24"/>
          <w:szCs w:val="24"/>
        </w:rPr>
        <w:t>所需的费用包括在总价格中</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含税费</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eastAsia="zh-CN"/>
        </w:rPr>
        <w:t>运输及搬运</w:t>
      </w:r>
      <w:r>
        <w:rPr>
          <w:rFonts w:hint="eastAsia" w:ascii="宋体" w:hAnsi="宋体" w:eastAsia="宋体" w:cs="宋体"/>
          <w:sz w:val="24"/>
          <w:szCs w:val="24"/>
        </w:rPr>
        <w:t>过程中发生任何人员伤亡或财产损失，均由成交供应商负责解决并自行承担全部责任</w:t>
      </w:r>
      <w:r>
        <w:rPr>
          <w:rFonts w:hint="eastAsia" w:ascii="宋体" w:hAnsi="宋体" w:eastAsia="宋体" w:cs="宋体"/>
          <w:sz w:val="24"/>
          <w:szCs w:val="24"/>
          <w:lang w:eastAsia="zh-CN"/>
        </w:rPr>
        <w:t>，</w:t>
      </w:r>
      <w:r>
        <w:rPr>
          <w:rFonts w:hint="eastAsia" w:ascii="宋体" w:hAnsi="宋体" w:eastAsia="宋体" w:cs="宋体"/>
          <w:sz w:val="24"/>
          <w:szCs w:val="24"/>
        </w:rPr>
        <w:t>与采购人无关。</w:t>
      </w:r>
    </w:p>
    <w:p w14:paraId="11C3D95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4.质保期限：所供离子交换树脂再生剂质保期为12个月内，自产品生产日期起计算。</w:t>
      </w:r>
      <w:r>
        <w:rPr>
          <w:rFonts w:hint="eastAsia" w:ascii="宋体" w:hAnsi="宋体" w:eastAsia="宋体" w:cs="宋体"/>
          <w:color w:val="000000"/>
          <w:kern w:val="0"/>
          <w:sz w:val="24"/>
          <w:szCs w:val="24"/>
          <w:lang w:val="en-US" w:eastAsia="zh-CN"/>
        </w:rPr>
        <w:t>（提供服务承诺函）</w:t>
      </w:r>
    </w:p>
    <w:p w14:paraId="0433A1C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成交供应商</w:t>
      </w:r>
      <w:r>
        <w:rPr>
          <w:rFonts w:hint="eastAsia" w:ascii="宋体" w:hAnsi="宋体" w:eastAsia="宋体" w:cs="宋体"/>
          <w:color w:val="auto"/>
          <w:sz w:val="24"/>
          <w:szCs w:val="24"/>
          <w:lang w:val="en-US" w:eastAsia="zh-CN"/>
        </w:rPr>
        <w:t>应保证提供的货物是全新、未使用过的原装合</w:t>
      </w:r>
      <w:r>
        <w:rPr>
          <w:rFonts w:hint="eastAsia" w:ascii="宋体" w:hAnsi="宋体" w:eastAsia="宋体" w:cs="宋体"/>
          <w:sz w:val="24"/>
          <w:szCs w:val="24"/>
          <w:lang w:val="en-US" w:eastAsia="zh-CN"/>
        </w:rPr>
        <w:t>格正品，并完全符合生产厂家或国家规定的质量、规格和性能的要求。</w:t>
      </w:r>
    </w:p>
    <w:p w14:paraId="0E5BCADB">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 七、其他要求</w:t>
      </w:r>
    </w:p>
    <w:p w14:paraId="091684B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1、评标过程中出现下列情形之⼀的，评审小组参照政府采购异常低价投标审查程序：</w:t>
      </w:r>
    </w:p>
    <w:p w14:paraId="3735A76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 xml:space="preserve">（1）投标报价低于全部通过符合性审查供应商投标报价平均值 </w:t>
      </w:r>
      <w:r>
        <w:rPr>
          <w:rFonts w:hint="default" w:ascii="宋体" w:hAnsi="宋体" w:eastAsia="宋体" w:cs="宋体"/>
          <w:bCs/>
          <w:color w:val="auto"/>
          <w:sz w:val="24"/>
          <w:szCs w:val="22"/>
          <w:lang w:val="en-US" w:eastAsia="zh-CN"/>
        </w:rPr>
        <w:t xml:space="preserve">65 %的，即投标报价&lt;全部通过符合性审查供应商投标报价平均值× 65 %； </w:t>
      </w:r>
    </w:p>
    <w:p w14:paraId="564FD44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（2）</w:t>
      </w:r>
      <w:r>
        <w:rPr>
          <w:rFonts w:hint="default" w:ascii="宋体" w:hAnsi="宋体" w:eastAsia="宋体" w:cs="宋体"/>
          <w:bCs/>
          <w:color w:val="auto"/>
          <w:sz w:val="24"/>
          <w:szCs w:val="22"/>
          <w:lang w:val="en-US" w:eastAsia="zh-CN"/>
        </w:rPr>
        <w:t xml:space="preserve">投标报价低于通过符合性审查的次低报价供应商投标报价 65 %的，即投标报价&lt;通过符合性审查的次低报价供应商投标报价×65 %； </w:t>
      </w:r>
    </w:p>
    <w:p w14:paraId="7C5F988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（3）</w:t>
      </w:r>
      <w:r>
        <w:rPr>
          <w:rFonts w:hint="default" w:ascii="宋体" w:hAnsi="宋体" w:eastAsia="宋体" w:cs="宋体"/>
          <w:bCs/>
          <w:color w:val="auto"/>
          <w:sz w:val="24"/>
          <w:szCs w:val="22"/>
          <w:lang w:val="en-US" w:eastAsia="zh-CN"/>
        </w:rPr>
        <w:t>投标报价低于采购项⽬（采购包）最</w:t>
      </w:r>
      <w:r>
        <w:rPr>
          <w:rFonts w:hint="eastAsia" w:ascii="宋体" w:hAnsi="宋体" w:eastAsia="宋体" w:cs="宋体"/>
          <w:bCs/>
          <w:color w:val="auto"/>
          <w:sz w:val="24"/>
          <w:szCs w:val="22"/>
          <w:lang w:val="en-US" w:eastAsia="zh-CN"/>
        </w:rPr>
        <w:t>高</w:t>
      </w:r>
      <w:r>
        <w:rPr>
          <w:rFonts w:hint="default" w:ascii="宋体" w:hAnsi="宋体" w:eastAsia="宋体" w:cs="宋体"/>
          <w:bCs/>
          <w:color w:val="auto"/>
          <w:sz w:val="24"/>
          <w:szCs w:val="22"/>
          <w:lang w:val="en-US" w:eastAsia="zh-CN"/>
        </w:rPr>
        <w:t>限价 65 %的，即投标报价&lt;</w:t>
      </w:r>
      <w:r>
        <w:rPr>
          <w:rFonts w:hint="eastAsia" w:ascii="宋体" w:hAnsi="宋体" w:eastAsia="宋体" w:cs="宋体"/>
          <w:bCs/>
          <w:color w:val="auto"/>
          <w:sz w:val="24"/>
          <w:szCs w:val="22"/>
          <w:lang w:val="en-US" w:eastAsia="zh-CN"/>
        </w:rPr>
        <w:t>采购项目</w:t>
      </w:r>
      <w:r>
        <w:rPr>
          <w:rFonts w:hint="default" w:ascii="宋体" w:hAnsi="宋体" w:eastAsia="宋体" w:cs="宋体"/>
          <w:bCs/>
          <w:color w:val="auto"/>
          <w:sz w:val="24"/>
          <w:szCs w:val="22"/>
          <w:lang w:val="en-US" w:eastAsia="zh-CN"/>
        </w:rPr>
        <w:t>（采购包）最</w:t>
      </w:r>
      <w:r>
        <w:rPr>
          <w:rFonts w:hint="eastAsia" w:ascii="宋体" w:hAnsi="宋体" w:eastAsia="宋体" w:cs="宋体"/>
          <w:bCs/>
          <w:color w:val="auto"/>
          <w:sz w:val="24"/>
          <w:szCs w:val="22"/>
          <w:lang w:val="en-US" w:eastAsia="zh-CN"/>
        </w:rPr>
        <w:t>高</w:t>
      </w:r>
      <w:r>
        <w:rPr>
          <w:rFonts w:hint="default" w:ascii="宋体" w:hAnsi="宋体" w:eastAsia="宋体" w:cs="宋体"/>
          <w:bCs/>
          <w:color w:val="auto"/>
          <w:sz w:val="24"/>
          <w:szCs w:val="22"/>
          <w:lang w:val="en-US" w:eastAsia="zh-CN"/>
        </w:rPr>
        <w:t xml:space="preserve">限价× 65 %； </w:t>
      </w:r>
    </w:p>
    <w:p w14:paraId="1323829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（4）评审小组</w:t>
      </w:r>
      <w:r>
        <w:rPr>
          <w:rFonts w:hint="default" w:ascii="宋体" w:hAnsi="宋体" w:eastAsia="宋体" w:cs="宋体"/>
          <w:bCs/>
          <w:color w:val="auto"/>
          <w:sz w:val="24"/>
          <w:szCs w:val="22"/>
          <w:lang w:val="en-US" w:eastAsia="zh-CN"/>
        </w:rPr>
        <w:t xml:space="preserve">基于专业判断，认为供应商报价过低，有可能影响产品质量或者不能诚信履约的其他情形。 </w:t>
      </w:r>
    </w:p>
    <w:p w14:paraId="01A7219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评审小组</w:t>
      </w:r>
      <w:r>
        <w:rPr>
          <w:rFonts w:hint="default" w:ascii="宋体" w:hAnsi="宋体" w:eastAsia="宋体" w:cs="宋体"/>
          <w:bCs/>
          <w:color w:val="auto"/>
          <w:sz w:val="24"/>
          <w:szCs w:val="22"/>
          <w:lang w:val="en-US" w:eastAsia="zh-CN"/>
        </w:rPr>
        <w:t>会启动异常低价投标审查后，属于前述第</w:t>
      </w:r>
      <w:r>
        <w:rPr>
          <w:rFonts w:hint="eastAsia" w:ascii="宋体" w:hAnsi="宋体" w:eastAsia="宋体" w:cs="宋体"/>
          <w:bCs/>
          <w:color w:val="auto"/>
          <w:sz w:val="24"/>
          <w:szCs w:val="22"/>
          <w:lang w:val="en-US" w:eastAsia="zh-CN"/>
        </w:rPr>
        <w:t>（1）</w:t>
      </w:r>
      <w:r>
        <w:rPr>
          <w:rFonts w:hint="default" w:ascii="宋体" w:hAnsi="宋体" w:eastAsia="宋体" w:cs="宋体"/>
          <w:bCs/>
          <w:color w:val="auto"/>
          <w:sz w:val="24"/>
          <w:szCs w:val="22"/>
          <w:lang w:val="en-US" w:eastAsia="zh-CN"/>
        </w:rPr>
        <w:t>项⾄第</w:t>
      </w:r>
      <w:r>
        <w:rPr>
          <w:rFonts w:hint="eastAsia" w:ascii="宋体" w:hAnsi="宋体" w:eastAsia="宋体" w:cs="宋体"/>
          <w:bCs/>
          <w:color w:val="auto"/>
          <w:sz w:val="24"/>
          <w:szCs w:val="22"/>
          <w:lang w:val="en-US" w:eastAsia="zh-CN"/>
        </w:rPr>
        <w:t>（4）</w:t>
      </w:r>
      <w:r>
        <w:rPr>
          <w:rFonts w:hint="default" w:ascii="宋体" w:hAnsi="宋体" w:eastAsia="宋体" w:cs="宋体"/>
          <w:bCs/>
          <w:color w:val="auto"/>
          <w:sz w:val="24"/>
          <w:szCs w:val="22"/>
          <w:lang w:val="en-US" w:eastAsia="zh-CN"/>
        </w:rPr>
        <w:t>项情形的，应当要求相关供应商在评审现场合理的时间内对投标价格作出解释，提供项⽬具体成本测算等与报价合理性相关的书⾯说明及必要的证明材料，包括但不限于原材料成本、</w:t>
      </w:r>
      <w:r>
        <w:rPr>
          <w:rFonts w:hint="eastAsia" w:ascii="宋体" w:hAnsi="宋体" w:eastAsia="宋体" w:cs="宋体"/>
          <w:bCs/>
          <w:color w:val="auto"/>
          <w:sz w:val="24"/>
          <w:szCs w:val="22"/>
          <w:lang w:val="en-US" w:eastAsia="zh-CN"/>
        </w:rPr>
        <w:t>人工成本</w:t>
      </w:r>
      <w:r>
        <w:rPr>
          <w:rFonts w:hint="default" w:ascii="宋体" w:hAnsi="宋体" w:eastAsia="宋体" w:cs="宋体"/>
          <w:bCs/>
          <w:color w:val="auto"/>
          <w:sz w:val="24"/>
          <w:szCs w:val="22"/>
          <w:lang w:val="en-US" w:eastAsia="zh-CN"/>
        </w:rPr>
        <w:t>、制造费</w:t>
      </w:r>
      <w:r>
        <w:rPr>
          <w:rFonts w:hint="eastAsia" w:ascii="宋体" w:hAnsi="宋体" w:eastAsia="宋体" w:cs="宋体"/>
          <w:bCs/>
          <w:color w:val="auto"/>
          <w:sz w:val="24"/>
          <w:szCs w:val="22"/>
          <w:lang w:val="en-US" w:eastAsia="zh-CN"/>
        </w:rPr>
        <w:t>用</w:t>
      </w:r>
      <w:r>
        <w:rPr>
          <w:rFonts w:hint="default" w:ascii="宋体" w:hAnsi="宋体" w:eastAsia="宋体" w:cs="宋体"/>
          <w:bCs/>
          <w:color w:val="auto"/>
          <w:sz w:val="24"/>
          <w:szCs w:val="22"/>
          <w:lang w:val="en-US" w:eastAsia="zh-CN"/>
        </w:rPr>
        <w:t>等，给予相关供应商的合理时间⼀般不少于30分钟。其中，属于第</w:t>
      </w:r>
      <w:r>
        <w:rPr>
          <w:rFonts w:hint="eastAsia" w:ascii="宋体" w:hAnsi="宋体" w:eastAsia="宋体" w:cs="宋体"/>
          <w:bCs/>
          <w:color w:val="auto"/>
          <w:sz w:val="24"/>
          <w:szCs w:val="22"/>
          <w:lang w:val="en-US" w:eastAsia="zh-CN"/>
        </w:rPr>
        <w:t>（3）</w:t>
      </w:r>
      <w:r>
        <w:rPr>
          <w:rFonts w:hint="default" w:ascii="宋体" w:hAnsi="宋体" w:eastAsia="宋体" w:cs="宋体"/>
          <w:bCs/>
          <w:color w:val="auto"/>
          <w:sz w:val="24"/>
          <w:szCs w:val="22"/>
          <w:lang w:val="en-US" w:eastAsia="zh-CN"/>
        </w:rPr>
        <w:t xml:space="preserve">项情形，供应商已随投标⽂件⼀并提交 相关书⾯说明及必要的证明材料的，在评审现场可不再重复提交。 </w:t>
      </w:r>
    </w:p>
    <w:p w14:paraId="07D4270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评审小组</w:t>
      </w:r>
      <w:r>
        <w:rPr>
          <w:rFonts w:hint="default" w:ascii="宋体" w:hAnsi="宋体" w:eastAsia="宋体" w:cs="宋体"/>
          <w:bCs/>
          <w:color w:val="auto"/>
          <w:sz w:val="24"/>
          <w:szCs w:val="22"/>
          <w:lang w:val="en-US" w:eastAsia="zh-CN"/>
        </w:rPr>
        <w:t>会依据专业经验，参考同类</w:t>
      </w:r>
      <w:r>
        <w:rPr>
          <w:rFonts w:hint="eastAsia" w:ascii="宋体" w:hAnsi="宋体" w:eastAsia="宋体" w:cs="宋体"/>
          <w:bCs/>
          <w:color w:val="auto"/>
          <w:sz w:val="24"/>
          <w:szCs w:val="22"/>
          <w:lang w:val="en-US" w:eastAsia="zh-CN"/>
        </w:rPr>
        <w:t>项目</w:t>
      </w:r>
      <w:r>
        <w:rPr>
          <w:rFonts w:hint="default" w:ascii="宋体" w:hAnsi="宋体" w:eastAsia="宋体" w:cs="宋体"/>
          <w:bCs/>
          <w:color w:val="auto"/>
          <w:sz w:val="24"/>
          <w:szCs w:val="22"/>
          <w:lang w:val="en-US" w:eastAsia="zh-CN"/>
        </w:rPr>
        <w:t>中标（成交）价格、类似产品市场价格</w:t>
      </w:r>
      <w:r>
        <w:rPr>
          <w:rFonts w:hint="eastAsia" w:ascii="宋体" w:hAnsi="宋体" w:eastAsia="宋体" w:cs="宋体"/>
          <w:bCs/>
          <w:color w:val="auto"/>
          <w:sz w:val="24"/>
          <w:szCs w:val="22"/>
          <w:lang w:val="en-US" w:eastAsia="zh-CN"/>
        </w:rPr>
        <w:t>水平</w:t>
      </w:r>
      <w:r>
        <w:rPr>
          <w:rFonts w:hint="default" w:ascii="宋体" w:hAnsi="宋体" w:eastAsia="宋体" w:cs="宋体"/>
          <w:bCs/>
          <w:color w:val="auto"/>
          <w:sz w:val="24"/>
          <w:szCs w:val="22"/>
          <w:lang w:val="en-US" w:eastAsia="zh-CN"/>
        </w:rPr>
        <w:t>、</w:t>
      </w:r>
      <w:r>
        <w:rPr>
          <w:rFonts w:hint="eastAsia" w:ascii="宋体" w:hAnsi="宋体" w:eastAsia="宋体" w:cs="宋体"/>
          <w:bCs/>
          <w:color w:val="auto"/>
          <w:sz w:val="24"/>
          <w:szCs w:val="22"/>
          <w:lang w:val="en-US" w:eastAsia="zh-CN"/>
        </w:rPr>
        <w:t>行业人工</w:t>
      </w:r>
      <w:r>
        <w:rPr>
          <w:rFonts w:hint="default" w:ascii="宋体" w:hAnsi="宋体" w:eastAsia="宋体" w:cs="宋体"/>
          <w:bCs/>
          <w:color w:val="auto"/>
          <w:sz w:val="24"/>
          <w:szCs w:val="22"/>
          <w:lang w:val="en-US" w:eastAsia="zh-CN"/>
        </w:rPr>
        <w:t>费</w:t>
      </w:r>
      <w:r>
        <w:rPr>
          <w:rFonts w:hint="eastAsia" w:ascii="宋体" w:hAnsi="宋体" w:eastAsia="宋体" w:cs="宋体"/>
          <w:bCs/>
          <w:color w:val="auto"/>
          <w:sz w:val="24"/>
          <w:szCs w:val="22"/>
          <w:lang w:val="en-US" w:eastAsia="zh-CN"/>
        </w:rPr>
        <w:t>用</w:t>
      </w:r>
      <w:r>
        <w:rPr>
          <w:rFonts w:hint="default" w:ascii="宋体" w:hAnsi="宋体" w:eastAsia="宋体" w:cs="宋体"/>
          <w:bCs/>
          <w:color w:val="auto"/>
          <w:sz w:val="24"/>
          <w:szCs w:val="22"/>
          <w:lang w:val="en-US" w:eastAsia="zh-CN"/>
        </w:rPr>
        <w:t>标准、国家有关部</w:t>
      </w:r>
      <w:r>
        <w:rPr>
          <w:rFonts w:hint="eastAsia" w:ascii="宋体" w:hAnsi="宋体" w:eastAsia="宋体" w:cs="宋体"/>
          <w:bCs/>
          <w:color w:val="auto"/>
          <w:sz w:val="24"/>
          <w:szCs w:val="22"/>
          <w:lang w:val="en-US" w:eastAsia="zh-CN"/>
        </w:rPr>
        <w:t>门</w:t>
      </w:r>
      <w:r>
        <w:rPr>
          <w:rFonts w:hint="default" w:ascii="宋体" w:hAnsi="宋体" w:eastAsia="宋体" w:cs="宋体"/>
          <w:bCs/>
          <w:color w:val="auto"/>
          <w:sz w:val="24"/>
          <w:szCs w:val="22"/>
          <w:lang w:val="en-US" w:eastAsia="zh-CN"/>
        </w:rPr>
        <w:t>指导</w:t>
      </w:r>
      <w:r>
        <w:rPr>
          <w:rFonts w:hint="eastAsia" w:ascii="宋体" w:hAnsi="宋体" w:eastAsia="宋体" w:cs="宋体"/>
          <w:bCs/>
          <w:color w:val="auto"/>
          <w:sz w:val="24"/>
          <w:szCs w:val="22"/>
          <w:lang w:val="en-US" w:eastAsia="zh-CN"/>
        </w:rPr>
        <w:t>行业</w:t>
      </w:r>
      <w:r>
        <w:rPr>
          <w:rFonts w:hint="default" w:ascii="宋体" w:hAnsi="宋体" w:eastAsia="宋体" w:cs="宋体"/>
          <w:bCs/>
          <w:color w:val="auto"/>
          <w:sz w:val="24"/>
          <w:szCs w:val="22"/>
          <w:lang w:val="en-US" w:eastAsia="zh-CN"/>
        </w:rPr>
        <w:t>协会发布的</w:t>
      </w:r>
      <w:r>
        <w:rPr>
          <w:rFonts w:hint="eastAsia" w:ascii="宋体" w:hAnsi="宋体" w:eastAsia="宋体" w:cs="宋体"/>
          <w:bCs/>
          <w:color w:val="auto"/>
          <w:sz w:val="24"/>
          <w:szCs w:val="22"/>
          <w:lang w:val="en-US" w:eastAsia="zh-CN"/>
        </w:rPr>
        <w:t>行业</w:t>
      </w:r>
      <w:r>
        <w:rPr>
          <w:rFonts w:hint="default" w:ascii="宋体" w:hAnsi="宋体" w:eastAsia="宋体" w:cs="宋体"/>
          <w:bCs/>
          <w:color w:val="auto"/>
          <w:sz w:val="24"/>
          <w:szCs w:val="22"/>
          <w:lang w:val="en-US" w:eastAsia="zh-CN"/>
        </w:rPr>
        <w:t>平均成本等情况，对报价合理性</w:t>
      </w:r>
      <w:r>
        <w:rPr>
          <w:rFonts w:hint="eastAsia" w:ascii="宋体" w:hAnsi="宋体" w:eastAsia="宋体" w:cs="宋体"/>
          <w:bCs/>
          <w:color w:val="auto"/>
          <w:sz w:val="24"/>
          <w:szCs w:val="22"/>
          <w:lang w:val="en-US" w:eastAsia="zh-CN"/>
        </w:rPr>
        <w:t>进行</w:t>
      </w:r>
      <w:r>
        <w:rPr>
          <w:rFonts w:hint="default" w:ascii="宋体" w:hAnsi="宋体" w:eastAsia="宋体" w:cs="宋体"/>
          <w:bCs/>
          <w:color w:val="auto"/>
          <w:sz w:val="24"/>
          <w:szCs w:val="22"/>
          <w:lang w:val="en-US" w:eastAsia="zh-CN"/>
        </w:rPr>
        <w:t>判断。投标供应商不能提供书</w:t>
      </w:r>
      <w:r>
        <w:rPr>
          <w:rFonts w:hint="eastAsia" w:ascii="宋体" w:hAnsi="宋体" w:eastAsia="宋体" w:cs="宋体"/>
          <w:bCs/>
          <w:color w:val="auto"/>
          <w:sz w:val="24"/>
          <w:szCs w:val="22"/>
          <w:lang w:val="en-US" w:eastAsia="zh-CN"/>
        </w:rPr>
        <w:t>面</w:t>
      </w:r>
      <w:r>
        <w:rPr>
          <w:rFonts w:hint="default" w:ascii="宋体" w:hAnsi="宋体" w:eastAsia="宋体" w:cs="宋体"/>
          <w:bCs/>
          <w:color w:val="auto"/>
          <w:sz w:val="24"/>
          <w:szCs w:val="22"/>
          <w:lang w:val="en-US" w:eastAsia="zh-CN"/>
        </w:rPr>
        <w:t>说明、证明材料，或者提供的书</w:t>
      </w:r>
      <w:r>
        <w:rPr>
          <w:rFonts w:hint="eastAsia" w:ascii="宋体" w:hAnsi="宋体" w:eastAsia="宋体" w:cs="宋体"/>
          <w:bCs/>
          <w:color w:val="auto"/>
          <w:sz w:val="24"/>
          <w:szCs w:val="22"/>
          <w:lang w:val="en-US" w:eastAsia="zh-CN"/>
        </w:rPr>
        <w:t>面</w:t>
      </w:r>
      <w:r>
        <w:rPr>
          <w:rFonts w:hint="default" w:ascii="宋体" w:hAnsi="宋体" w:eastAsia="宋体" w:cs="宋体"/>
          <w:bCs/>
          <w:color w:val="auto"/>
          <w:sz w:val="24"/>
          <w:szCs w:val="22"/>
          <w:lang w:val="en-US" w:eastAsia="zh-CN"/>
        </w:rPr>
        <w:t>说明、证明材料不能证明其报价合理性的，</w:t>
      </w:r>
      <w:r>
        <w:rPr>
          <w:rFonts w:hint="eastAsia" w:ascii="宋体" w:hAnsi="宋体" w:eastAsia="宋体" w:cs="宋体"/>
          <w:bCs/>
          <w:color w:val="auto"/>
          <w:sz w:val="24"/>
          <w:szCs w:val="22"/>
          <w:lang w:val="en-US" w:eastAsia="zh-CN"/>
        </w:rPr>
        <w:t>评审小组</w:t>
      </w:r>
      <w:r>
        <w:rPr>
          <w:rFonts w:hint="default" w:ascii="宋体" w:hAnsi="宋体" w:eastAsia="宋体" w:cs="宋体"/>
          <w:bCs/>
          <w:color w:val="auto"/>
          <w:sz w:val="24"/>
          <w:szCs w:val="22"/>
          <w:lang w:val="en-US" w:eastAsia="zh-CN"/>
        </w:rPr>
        <w:t>应当将其作为</w:t>
      </w:r>
      <w:r>
        <w:rPr>
          <w:rFonts w:hint="eastAsia" w:ascii="宋体" w:hAnsi="宋体" w:eastAsia="宋体" w:cs="宋体"/>
          <w:bCs/>
          <w:color w:val="auto"/>
          <w:sz w:val="24"/>
          <w:szCs w:val="22"/>
          <w:lang w:val="en-US" w:eastAsia="zh-CN"/>
        </w:rPr>
        <w:t>无</w:t>
      </w:r>
      <w:r>
        <w:rPr>
          <w:rFonts w:hint="default" w:ascii="宋体" w:hAnsi="宋体" w:eastAsia="宋体" w:cs="宋体"/>
          <w:bCs/>
          <w:color w:val="auto"/>
          <w:sz w:val="24"/>
          <w:szCs w:val="22"/>
          <w:lang w:val="en-US" w:eastAsia="zh-CN"/>
        </w:rPr>
        <w:t>效投标处理。</w:t>
      </w:r>
    </w:p>
    <w:p w14:paraId="59C2498B">
      <w:pPr>
        <w:rPr>
          <w:rFonts w:hint="eastAsia"/>
          <w:lang w:val="en-US" w:eastAsia="zh-CN"/>
        </w:rPr>
      </w:pPr>
    </w:p>
    <w:p w14:paraId="226BDE3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备注：本章采购文件中标注“★”号的条款为本次采购项目的实质性要求，供应商应全部满足；带“▲”的为重要性参数条款，需提供相应的证明材料进行佐证。</w:t>
      </w:r>
    </w:p>
    <w:p w14:paraId="3142CDAC">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w:t>
      </w:r>
    </w:p>
    <w:p w14:paraId="223D9361">
      <w:pPr>
        <w:pStyle w:val="2"/>
        <w:rPr>
          <w:rFonts w:hint="eastAsia" w:ascii="宋体" w:hAnsi="宋体" w:eastAsia="宋体" w:cs="宋体"/>
          <w:sz w:val="24"/>
          <w:szCs w:val="24"/>
          <w:lang w:val="en-US" w:eastAsia="zh-CN"/>
        </w:rPr>
      </w:pPr>
    </w:p>
    <w:p w14:paraId="79F170A0">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textAlignment w:val="auto"/>
        <w:rPr>
          <w:rFonts w:hint="eastAsia" w:ascii="宋体" w:hAnsi="宋体" w:eastAsia="宋体" w:cs="宋体"/>
          <w:b/>
          <w:bCs/>
          <w:sz w:val="24"/>
          <w:szCs w:val="24"/>
          <w:lang w:val="en-US" w:eastAsia="zh-CN"/>
        </w:rPr>
      </w:pPr>
    </w:p>
    <w:p w14:paraId="29440CA8">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241" w:firstLineChars="1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八、评分标准</w:t>
      </w:r>
    </w:p>
    <w:tbl>
      <w:tblPr>
        <w:tblStyle w:val="10"/>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95"/>
        <w:gridCol w:w="1320"/>
        <w:gridCol w:w="1080"/>
        <w:gridCol w:w="6128"/>
      </w:tblGrid>
      <w:tr w14:paraId="3CB0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2" w:hRule="atLeast"/>
          <w:jc w:val="center"/>
        </w:trPr>
        <w:tc>
          <w:tcPr>
            <w:tcW w:w="795" w:type="dxa"/>
            <w:noWrap w:val="0"/>
            <w:vAlign w:val="center"/>
          </w:tcPr>
          <w:p w14:paraId="42173E8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序号</w:t>
            </w:r>
          </w:p>
        </w:tc>
        <w:tc>
          <w:tcPr>
            <w:tcW w:w="1320" w:type="dxa"/>
            <w:noWrap w:val="0"/>
            <w:vAlign w:val="center"/>
          </w:tcPr>
          <w:p w14:paraId="3A57C7B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评分因素</w:t>
            </w:r>
          </w:p>
        </w:tc>
        <w:tc>
          <w:tcPr>
            <w:tcW w:w="1080" w:type="dxa"/>
            <w:noWrap w:val="0"/>
            <w:vAlign w:val="center"/>
          </w:tcPr>
          <w:p w14:paraId="1A0BEFE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分值</w:t>
            </w:r>
          </w:p>
        </w:tc>
        <w:tc>
          <w:tcPr>
            <w:tcW w:w="6128" w:type="dxa"/>
            <w:noWrap w:val="0"/>
            <w:vAlign w:val="center"/>
          </w:tcPr>
          <w:p w14:paraId="0E383A4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评分标准</w:t>
            </w:r>
          </w:p>
        </w:tc>
      </w:tr>
      <w:tr w14:paraId="6A32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292" w:hRule="atLeast"/>
          <w:jc w:val="center"/>
        </w:trPr>
        <w:tc>
          <w:tcPr>
            <w:tcW w:w="795" w:type="dxa"/>
            <w:noWrap w:val="0"/>
            <w:vAlign w:val="center"/>
          </w:tcPr>
          <w:p w14:paraId="4057E5A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1320" w:type="dxa"/>
            <w:noWrap w:val="0"/>
            <w:vAlign w:val="center"/>
          </w:tcPr>
          <w:p w14:paraId="6052C41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w:t>
            </w:r>
          </w:p>
        </w:tc>
        <w:tc>
          <w:tcPr>
            <w:tcW w:w="1080" w:type="dxa"/>
            <w:noWrap w:val="0"/>
            <w:vAlign w:val="center"/>
          </w:tcPr>
          <w:p w14:paraId="241C149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40分</w:t>
            </w:r>
          </w:p>
        </w:tc>
        <w:tc>
          <w:tcPr>
            <w:tcW w:w="6128" w:type="dxa"/>
            <w:noWrap w:val="0"/>
            <w:vAlign w:val="center"/>
          </w:tcPr>
          <w:p w14:paraId="4240EC7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报价为单价最高限价报价。</w:t>
            </w:r>
          </w:p>
          <w:p w14:paraId="6F23FD4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auto"/>
                <w:kern w:val="0"/>
                <w:sz w:val="24"/>
                <w:szCs w:val="24"/>
                <w:lang w:val="en-US" w:eastAsia="zh-CN"/>
              </w:rPr>
              <w:t>满足招标文件要求且投标价格最低的报价为评标基准价，其价格分为满分。其他投标人的价格分统一按照下列公式计算：投标报价得分=（评标基准价／投标报价）×40。</w:t>
            </w:r>
          </w:p>
        </w:tc>
      </w:tr>
      <w:tr w14:paraId="468B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64" w:hRule="atLeast"/>
          <w:jc w:val="center"/>
        </w:trPr>
        <w:tc>
          <w:tcPr>
            <w:tcW w:w="795" w:type="dxa"/>
            <w:noWrap w:val="0"/>
            <w:vAlign w:val="center"/>
          </w:tcPr>
          <w:p w14:paraId="494E8E1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c>
          <w:tcPr>
            <w:tcW w:w="1320" w:type="dxa"/>
            <w:noWrap w:val="0"/>
            <w:vAlign w:val="center"/>
          </w:tcPr>
          <w:p w14:paraId="57CF967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技术参数</w:t>
            </w:r>
          </w:p>
        </w:tc>
        <w:tc>
          <w:tcPr>
            <w:tcW w:w="1080" w:type="dxa"/>
            <w:noWrap w:val="0"/>
            <w:vAlign w:val="center"/>
          </w:tcPr>
          <w:p w14:paraId="54B29BA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10分</w:t>
            </w:r>
          </w:p>
        </w:tc>
        <w:tc>
          <w:tcPr>
            <w:tcW w:w="6128" w:type="dxa"/>
            <w:noWrap w:val="0"/>
            <w:vAlign w:val="center"/>
          </w:tcPr>
          <w:p w14:paraId="588E2FB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投标人针对“技术参数要求”中“▲”技术参数条款的响应得分规则如下:“▲”技术参数条款共10条，每一条响应得1分，完全响应的10分，不符合要求的每条扣1分，扣完为止。</w:t>
            </w:r>
          </w:p>
          <w:p w14:paraId="6912ECE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注：比选文件“重要性参数条款指标注“</w:t>
            </w:r>
            <w:bookmarkStart w:id="0" w:name="OLE_LINK4"/>
            <w:r>
              <w:rPr>
                <w:rFonts w:hint="eastAsia" w:ascii="宋体" w:hAnsi="宋体" w:eastAsia="宋体" w:cs="宋体"/>
                <w:color w:val="000000"/>
                <w:kern w:val="0"/>
                <w:sz w:val="24"/>
                <w:szCs w:val="24"/>
                <w:lang w:val="en-US" w:eastAsia="zh-CN"/>
              </w:rPr>
              <w:t>▲</w:t>
            </w:r>
            <w:bookmarkEnd w:id="0"/>
            <w:r>
              <w:rPr>
                <w:rFonts w:hint="eastAsia" w:ascii="宋体" w:hAnsi="宋体" w:eastAsia="宋体" w:cs="宋体"/>
                <w:color w:val="000000"/>
                <w:kern w:val="0"/>
                <w:sz w:val="24"/>
                <w:szCs w:val="24"/>
                <w:lang w:val="en-US" w:eastAsia="zh-CN"/>
              </w:rPr>
              <w:t>”的条款”需提供参数中相应的证明材料进行佐证的，若提供的材料不能完全满足或未提供的按上述条款进行扣分。</w:t>
            </w:r>
          </w:p>
        </w:tc>
      </w:tr>
      <w:tr w14:paraId="086B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424" w:hRule="atLeast"/>
          <w:jc w:val="center"/>
        </w:trPr>
        <w:tc>
          <w:tcPr>
            <w:tcW w:w="795" w:type="dxa"/>
            <w:noWrap w:val="0"/>
            <w:vAlign w:val="center"/>
          </w:tcPr>
          <w:p w14:paraId="0BFE4A6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c>
          <w:tcPr>
            <w:tcW w:w="1320" w:type="dxa"/>
            <w:noWrap w:val="0"/>
            <w:vAlign w:val="center"/>
          </w:tcPr>
          <w:p w14:paraId="7D50C1C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实施方案</w:t>
            </w:r>
          </w:p>
        </w:tc>
        <w:tc>
          <w:tcPr>
            <w:tcW w:w="1080" w:type="dxa"/>
            <w:noWrap w:val="0"/>
            <w:vAlign w:val="center"/>
          </w:tcPr>
          <w:p w14:paraId="1BBC139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20分</w:t>
            </w:r>
          </w:p>
        </w:tc>
        <w:tc>
          <w:tcPr>
            <w:tcW w:w="6128" w:type="dxa"/>
            <w:noWrap w:val="0"/>
            <w:vAlign w:val="center"/>
          </w:tcPr>
          <w:p w14:paraId="78388EC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投标人</w:t>
            </w:r>
            <w:r>
              <w:rPr>
                <w:rFonts w:hint="eastAsia" w:ascii="宋体" w:hAnsi="宋体" w:eastAsia="宋体" w:cs="宋体"/>
                <w:color w:val="000000"/>
                <w:kern w:val="0"/>
                <w:sz w:val="24"/>
                <w:szCs w:val="24"/>
                <w:lang w:val="en-US" w:eastAsia="zh-CN"/>
              </w:rPr>
              <w:t>根据本项目特点，提供实施方案至少包含：</w:t>
            </w:r>
            <w:r>
              <w:rPr>
                <w:rFonts w:hint="eastAsia" w:ascii="宋体" w:hAnsi="宋体" w:eastAsia="宋体" w:cs="宋体"/>
                <w:color w:val="auto"/>
                <w:kern w:val="0"/>
                <w:sz w:val="24"/>
                <w:szCs w:val="24"/>
                <w:lang w:val="en-US" w:eastAsia="zh-Hans"/>
              </w:rPr>
              <w:t>①备货</w:t>
            </w:r>
            <w:r>
              <w:rPr>
                <w:rFonts w:hint="eastAsia" w:ascii="宋体" w:hAnsi="宋体" w:eastAsia="宋体" w:cs="宋体"/>
                <w:color w:val="auto"/>
                <w:kern w:val="0"/>
                <w:sz w:val="24"/>
                <w:szCs w:val="24"/>
                <w:lang w:val="en-US" w:eastAsia="zh-CN"/>
              </w:rPr>
              <w:t>方案及服务流程</w:t>
            </w:r>
            <w:r>
              <w:rPr>
                <w:rFonts w:hint="eastAsia" w:ascii="宋体" w:hAnsi="宋体" w:eastAsia="宋体" w:cs="宋体"/>
                <w:color w:val="auto"/>
                <w:kern w:val="0"/>
                <w:sz w:val="24"/>
                <w:szCs w:val="24"/>
                <w:lang w:val="en-US" w:eastAsia="zh-Hans"/>
              </w:rPr>
              <w:t>；②产品质量保证措施</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val="en-US" w:eastAsia="zh-Hans"/>
              </w:rPr>
              <w:t>③</w:t>
            </w:r>
            <w:r>
              <w:rPr>
                <w:rFonts w:hint="eastAsia" w:ascii="宋体" w:hAnsi="宋体" w:eastAsia="宋体" w:cs="宋体"/>
                <w:color w:val="auto"/>
                <w:kern w:val="0"/>
                <w:sz w:val="24"/>
                <w:szCs w:val="24"/>
                <w:lang w:val="en-US" w:eastAsia="zh-CN"/>
              </w:rPr>
              <w:t>配送方案；</w:t>
            </w:r>
            <w:r>
              <w:rPr>
                <w:rFonts w:hint="eastAsia" w:ascii="宋体" w:hAnsi="宋体" w:eastAsia="宋体" w:cs="宋体"/>
                <w:color w:val="auto"/>
                <w:kern w:val="0"/>
                <w:sz w:val="24"/>
                <w:szCs w:val="24"/>
                <w:lang w:val="en-US" w:eastAsia="zh-Hans"/>
              </w:rPr>
              <w:t>④</w:t>
            </w:r>
            <w:r>
              <w:rPr>
                <w:rFonts w:hint="eastAsia" w:ascii="宋体" w:hAnsi="宋体" w:eastAsia="宋体" w:cs="宋体"/>
                <w:color w:val="auto"/>
                <w:kern w:val="0"/>
                <w:sz w:val="24"/>
                <w:szCs w:val="24"/>
                <w:lang w:val="en-US" w:eastAsia="zh-CN"/>
              </w:rPr>
              <w:t>团队</w:t>
            </w:r>
            <w:r>
              <w:rPr>
                <w:rFonts w:hint="eastAsia" w:ascii="宋体" w:hAnsi="宋体" w:eastAsia="宋体" w:cs="宋体"/>
                <w:color w:val="auto"/>
                <w:kern w:val="0"/>
                <w:sz w:val="24"/>
                <w:szCs w:val="24"/>
                <w:lang w:val="en-US" w:eastAsia="zh-Hans"/>
              </w:rPr>
              <w:t>人员的配置。</w:t>
            </w:r>
            <w:r>
              <w:rPr>
                <w:rFonts w:hint="eastAsia" w:ascii="宋体" w:hAnsi="宋体" w:eastAsia="宋体" w:cs="宋体"/>
                <w:color w:val="auto"/>
                <w:kern w:val="0"/>
                <w:sz w:val="24"/>
                <w:szCs w:val="24"/>
                <w:lang w:val="en-US" w:eastAsia="zh-CN"/>
              </w:rPr>
              <w:t>每具有一项得5分，最多得20分。</w:t>
            </w:r>
          </w:p>
          <w:p w14:paraId="30E9320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方案合理，针对性强，逻辑条理清晰、内容详尽、完全满足项目要求的得20分，每有1项缺项扣5分，每有一项内容不详尽、内容粗略、对本项目针对性不强、方案有逻辑性问题的扣2.5分，直至本项扣完为止。</w:t>
            </w:r>
          </w:p>
        </w:tc>
      </w:tr>
      <w:tr w14:paraId="00FB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754" w:hRule="atLeast"/>
          <w:jc w:val="center"/>
        </w:trPr>
        <w:tc>
          <w:tcPr>
            <w:tcW w:w="795" w:type="dxa"/>
            <w:noWrap w:val="0"/>
            <w:vAlign w:val="center"/>
          </w:tcPr>
          <w:p w14:paraId="0F1AA2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1320" w:type="dxa"/>
            <w:noWrap w:val="0"/>
            <w:vAlign w:val="center"/>
          </w:tcPr>
          <w:p w14:paraId="2B990B5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售后服务</w:t>
            </w:r>
          </w:p>
        </w:tc>
        <w:tc>
          <w:tcPr>
            <w:tcW w:w="1080" w:type="dxa"/>
            <w:noWrap w:val="0"/>
            <w:vAlign w:val="center"/>
          </w:tcPr>
          <w:p w14:paraId="2661B2B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20分</w:t>
            </w:r>
          </w:p>
        </w:tc>
        <w:tc>
          <w:tcPr>
            <w:tcW w:w="6128" w:type="dxa"/>
            <w:noWrap w:val="0"/>
            <w:vAlign w:val="center"/>
          </w:tcPr>
          <w:p w14:paraId="1E58DE6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auto"/>
                <w:kern w:val="0"/>
                <w:sz w:val="24"/>
                <w:szCs w:val="24"/>
                <w:lang w:val="en-US" w:eastAsia="zh-CN"/>
              </w:rPr>
              <w:t>投标人</w:t>
            </w:r>
            <w:r>
              <w:rPr>
                <w:rFonts w:hint="eastAsia" w:ascii="宋体" w:hAnsi="宋体" w:eastAsia="宋体" w:cs="宋体"/>
                <w:color w:val="000000"/>
                <w:kern w:val="0"/>
                <w:sz w:val="24"/>
                <w:szCs w:val="24"/>
                <w:lang w:val="en-US" w:eastAsia="zh-CN"/>
              </w:rPr>
              <w:t>需为本项目提供售后服务方案，方案包括：①售后服务人员配备及职责分工；②售后服务保障措施；③售后服务响应流程；④退换货保障。</w:t>
            </w:r>
            <w:r>
              <w:rPr>
                <w:rFonts w:hint="eastAsia" w:ascii="宋体" w:hAnsi="宋体" w:eastAsia="宋体" w:cs="宋体"/>
                <w:color w:val="auto"/>
                <w:kern w:val="0"/>
                <w:sz w:val="24"/>
                <w:szCs w:val="24"/>
                <w:lang w:val="en-US" w:eastAsia="zh-CN"/>
              </w:rPr>
              <w:t>每具有一项得5分，最多得20分。</w:t>
            </w:r>
          </w:p>
          <w:p w14:paraId="08BDF62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方案合理，针对性强，逻辑条理清晰、内容详尽、完全满足项目要求的得20分，每有1项缺项扣5分，每有一项内容不详尽、内容粗略、对本项目针对性不强、方案有逻辑性问题的扣2.5分，直至本项扣完为止。</w:t>
            </w:r>
          </w:p>
        </w:tc>
      </w:tr>
      <w:tr w14:paraId="57F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873" w:hRule="atLeast"/>
          <w:jc w:val="center"/>
        </w:trPr>
        <w:tc>
          <w:tcPr>
            <w:tcW w:w="795" w:type="dxa"/>
            <w:noWrap w:val="0"/>
            <w:vAlign w:val="center"/>
          </w:tcPr>
          <w:p w14:paraId="24ABF04D">
            <w:pPr>
              <w:widowControl/>
              <w:snapToGrid w:val="0"/>
              <w:jc w:val="center"/>
              <w:rPr>
                <w:rFonts w:hint="default"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rPr>
              <w:t>4</w:t>
            </w:r>
          </w:p>
        </w:tc>
        <w:tc>
          <w:tcPr>
            <w:tcW w:w="1320" w:type="dxa"/>
            <w:noWrap w:val="0"/>
            <w:vAlign w:val="center"/>
          </w:tcPr>
          <w:p w14:paraId="0F3244E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服务响应时间</w:t>
            </w:r>
          </w:p>
        </w:tc>
        <w:tc>
          <w:tcPr>
            <w:tcW w:w="1080" w:type="dxa"/>
            <w:noWrap w:val="0"/>
            <w:vAlign w:val="center"/>
          </w:tcPr>
          <w:p w14:paraId="7185EFD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10分</w:t>
            </w:r>
          </w:p>
        </w:tc>
        <w:tc>
          <w:tcPr>
            <w:tcW w:w="6128" w:type="dxa"/>
            <w:noWrap w:val="0"/>
            <w:vAlign w:val="center"/>
          </w:tcPr>
          <w:p w14:paraId="5333280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遇紧急情况需现场响应，以接到院方电话至现场处理所需的时间计。（提供服务承诺函）</w:t>
            </w:r>
          </w:p>
          <w:p w14:paraId="6D38D94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①服务响应时间≤30分钟得10分，②服务响应时间&gt;30分钟＜1小时得7分，③服务响应时间&gt;1小时＜2小时得5分，大于2小时不得分。</w:t>
            </w:r>
          </w:p>
        </w:tc>
      </w:tr>
    </w:tbl>
    <w:p w14:paraId="2D2E5AE0">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宋体"/>
          <w:sz w:val="24"/>
          <w:szCs w:val="24"/>
          <w:lang w:val="en-US" w:eastAsia="zh-CN"/>
        </w:rPr>
      </w:pPr>
    </w:p>
    <w:sectPr>
      <w:footerReference r:id="rId5" w:type="default"/>
      <w:pgSz w:w="11906" w:h="16838"/>
      <w:pgMar w:top="1440" w:right="1800" w:bottom="1440" w:left="180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86"/>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436C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2B197E">
                          <w:pPr>
                            <w:pStyle w:val="7"/>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92B197E">
                    <w:pPr>
                      <w:pStyle w:val="7"/>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5A39F7"/>
    <w:rsid w:val="00810F5E"/>
    <w:rsid w:val="008470DB"/>
    <w:rsid w:val="008B7726"/>
    <w:rsid w:val="009368AC"/>
    <w:rsid w:val="00D31D50"/>
    <w:rsid w:val="00DC5781"/>
    <w:rsid w:val="01407599"/>
    <w:rsid w:val="021516A5"/>
    <w:rsid w:val="02501EAD"/>
    <w:rsid w:val="02F46E33"/>
    <w:rsid w:val="03557B41"/>
    <w:rsid w:val="03643BA3"/>
    <w:rsid w:val="0417329C"/>
    <w:rsid w:val="04945734"/>
    <w:rsid w:val="056D6E47"/>
    <w:rsid w:val="06786A3E"/>
    <w:rsid w:val="06BD65DA"/>
    <w:rsid w:val="079B60C5"/>
    <w:rsid w:val="07C14663"/>
    <w:rsid w:val="080A4C11"/>
    <w:rsid w:val="085849F4"/>
    <w:rsid w:val="088F32A2"/>
    <w:rsid w:val="08955CC7"/>
    <w:rsid w:val="08A4624A"/>
    <w:rsid w:val="08B122D5"/>
    <w:rsid w:val="0901048B"/>
    <w:rsid w:val="090D23FF"/>
    <w:rsid w:val="092956CE"/>
    <w:rsid w:val="092A4F3A"/>
    <w:rsid w:val="094E03E0"/>
    <w:rsid w:val="09530849"/>
    <w:rsid w:val="097A2DEC"/>
    <w:rsid w:val="09AE62F4"/>
    <w:rsid w:val="0A2E7329"/>
    <w:rsid w:val="0A621C82"/>
    <w:rsid w:val="0A6F3FD3"/>
    <w:rsid w:val="0AB25CAB"/>
    <w:rsid w:val="0B8C2409"/>
    <w:rsid w:val="0B90462A"/>
    <w:rsid w:val="0B93058C"/>
    <w:rsid w:val="0BA039D5"/>
    <w:rsid w:val="0CDF4B5B"/>
    <w:rsid w:val="0D547C85"/>
    <w:rsid w:val="0D7F34E3"/>
    <w:rsid w:val="0DBB7AE7"/>
    <w:rsid w:val="0DD71875"/>
    <w:rsid w:val="0E5F4E01"/>
    <w:rsid w:val="0EE631E2"/>
    <w:rsid w:val="0F8B73C0"/>
    <w:rsid w:val="0FD75850"/>
    <w:rsid w:val="10261BDE"/>
    <w:rsid w:val="107E269F"/>
    <w:rsid w:val="1090591F"/>
    <w:rsid w:val="10CB1583"/>
    <w:rsid w:val="10F0650D"/>
    <w:rsid w:val="11453C83"/>
    <w:rsid w:val="11EF349A"/>
    <w:rsid w:val="123002D8"/>
    <w:rsid w:val="123C6861"/>
    <w:rsid w:val="12684E77"/>
    <w:rsid w:val="12A70BC3"/>
    <w:rsid w:val="12FD0B67"/>
    <w:rsid w:val="130D7106"/>
    <w:rsid w:val="13550A5B"/>
    <w:rsid w:val="14C21806"/>
    <w:rsid w:val="1567498B"/>
    <w:rsid w:val="15840FCA"/>
    <w:rsid w:val="15872005"/>
    <w:rsid w:val="15A227A2"/>
    <w:rsid w:val="15E6145E"/>
    <w:rsid w:val="1609367D"/>
    <w:rsid w:val="160C5ED0"/>
    <w:rsid w:val="1665032B"/>
    <w:rsid w:val="173A441D"/>
    <w:rsid w:val="190A7A32"/>
    <w:rsid w:val="19E347EF"/>
    <w:rsid w:val="19E97045"/>
    <w:rsid w:val="19F3629F"/>
    <w:rsid w:val="1A583AE3"/>
    <w:rsid w:val="1BA925B9"/>
    <w:rsid w:val="1BB856C7"/>
    <w:rsid w:val="1BBD260B"/>
    <w:rsid w:val="1BF558A3"/>
    <w:rsid w:val="1C3F5A67"/>
    <w:rsid w:val="1C6F051E"/>
    <w:rsid w:val="1D7718CE"/>
    <w:rsid w:val="1E930EB0"/>
    <w:rsid w:val="1EA9743F"/>
    <w:rsid w:val="1EE57977"/>
    <w:rsid w:val="1F5A2C28"/>
    <w:rsid w:val="1FA26413"/>
    <w:rsid w:val="1FDC56A6"/>
    <w:rsid w:val="212B77D5"/>
    <w:rsid w:val="219A3DC7"/>
    <w:rsid w:val="21AB0984"/>
    <w:rsid w:val="22270513"/>
    <w:rsid w:val="22335E5D"/>
    <w:rsid w:val="225F5A5E"/>
    <w:rsid w:val="22C3542A"/>
    <w:rsid w:val="22E916AC"/>
    <w:rsid w:val="242E418A"/>
    <w:rsid w:val="244F1333"/>
    <w:rsid w:val="24F20082"/>
    <w:rsid w:val="2514488B"/>
    <w:rsid w:val="25714C8B"/>
    <w:rsid w:val="2630111A"/>
    <w:rsid w:val="263E7561"/>
    <w:rsid w:val="265867F4"/>
    <w:rsid w:val="26A2676C"/>
    <w:rsid w:val="2712692B"/>
    <w:rsid w:val="273C4DA6"/>
    <w:rsid w:val="276028A6"/>
    <w:rsid w:val="280E60D5"/>
    <w:rsid w:val="28452984"/>
    <w:rsid w:val="28783286"/>
    <w:rsid w:val="289C4569"/>
    <w:rsid w:val="28C332B8"/>
    <w:rsid w:val="2AA90FBC"/>
    <w:rsid w:val="2AE37F85"/>
    <w:rsid w:val="2BBA320E"/>
    <w:rsid w:val="2BCE573E"/>
    <w:rsid w:val="2C410023"/>
    <w:rsid w:val="2C752D97"/>
    <w:rsid w:val="2CB85548"/>
    <w:rsid w:val="2D0F5755"/>
    <w:rsid w:val="2D5E6308"/>
    <w:rsid w:val="2D90470D"/>
    <w:rsid w:val="2DDC6980"/>
    <w:rsid w:val="2E1364F0"/>
    <w:rsid w:val="2E351C66"/>
    <w:rsid w:val="2F0B55F7"/>
    <w:rsid w:val="2F0E2C00"/>
    <w:rsid w:val="2F3B6D5A"/>
    <w:rsid w:val="2F6947E2"/>
    <w:rsid w:val="2F847CA8"/>
    <w:rsid w:val="2FB3176C"/>
    <w:rsid w:val="2FE41812"/>
    <w:rsid w:val="305F2C14"/>
    <w:rsid w:val="311364BA"/>
    <w:rsid w:val="31190FA9"/>
    <w:rsid w:val="313501CA"/>
    <w:rsid w:val="31854C19"/>
    <w:rsid w:val="31AB554A"/>
    <w:rsid w:val="321662B1"/>
    <w:rsid w:val="32C9341A"/>
    <w:rsid w:val="333211B8"/>
    <w:rsid w:val="33AA4745"/>
    <w:rsid w:val="33BE4C7C"/>
    <w:rsid w:val="34B06C8B"/>
    <w:rsid w:val="34B46146"/>
    <w:rsid w:val="34F74E35"/>
    <w:rsid w:val="35654540"/>
    <w:rsid w:val="35955A82"/>
    <w:rsid w:val="36616728"/>
    <w:rsid w:val="36742041"/>
    <w:rsid w:val="368643CC"/>
    <w:rsid w:val="373E11A0"/>
    <w:rsid w:val="377E67E5"/>
    <w:rsid w:val="37A22840"/>
    <w:rsid w:val="37CD610A"/>
    <w:rsid w:val="38645721"/>
    <w:rsid w:val="388451E2"/>
    <w:rsid w:val="389C4706"/>
    <w:rsid w:val="38C17FE3"/>
    <w:rsid w:val="38F401FF"/>
    <w:rsid w:val="39100229"/>
    <w:rsid w:val="396E4F55"/>
    <w:rsid w:val="398038C3"/>
    <w:rsid w:val="399E78AC"/>
    <w:rsid w:val="39A17949"/>
    <w:rsid w:val="3A2931B0"/>
    <w:rsid w:val="3A426F1C"/>
    <w:rsid w:val="3A567DB4"/>
    <w:rsid w:val="3A916A36"/>
    <w:rsid w:val="3AA25A1F"/>
    <w:rsid w:val="3ACD2F84"/>
    <w:rsid w:val="3AE7182B"/>
    <w:rsid w:val="3AFE0BC3"/>
    <w:rsid w:val="3B3D76DD"/>
    <w:rsid w:val="3BC45328"/>
    <w:rsid w:val="3BCC4497"/>
    <w:rsid w:val="3BE54EA1"/>
    <w:rsid w:val="3BF8293A"/>
    <w:rsid w:val="3D1C5791"/>
    <w:rsid w:val="3DA03702"/>
    <w:rsid w:val="3E277B0B"/>
    <w:rsid w:val="3E595263"/>
    <w:rsid w:val="3E6E069F"/>
    <w:rsid w:val="3E8C2A3B"/>
    <w:rsid w:val="3F274A8A"/>
    <w:rsid w:val="3F5C0FD3"/>
    <w:rsid w:val="3FDD2F1F"/>
    <w:rsid w:val="40B9121F"/>
    <w:rsid w:val="42B07649"/>
    <w:rsid w:val="433D1D1E"/>
    <w:rsid w:val="44060A61"/>
    <w:rsid w:val="442554C0"/>
    <w:rsid w:val="44A77C8A"/>
    <w:rsid w:val="45C24F72"/>
    <w:rsid w:val="45DF556B"/>
    <w:rsid w:val="46897587"/>
    <w:rsid w:val="46AE261E"/>
    <w:rsid w:val="47900BCC"/>
    <w:rsid w:val="481734F9"/>
    <w:rsid w:val="486328DC"/>
    <w:rsid w:val="489573EA"/>
    <w:rsid w:val="490B5C70"/>
    <w:rsid w:val="4925522C"/>
    <w:rsid w:val="49591AD0"/>
    <w:rsid w:val="4A1F0985"/>
    <w:rsid w:val="4A650358"/>
    <w:rsid w:val="4AF43C89"/>
    <w:rsid w:val="4B2E539F"/>
    <w:rsid w:val="4B7E7190"/>
    <w:rsid w:val="4B8436AC"/>
    <w:rsid w:val="4B9425F5"/>
    <w:rsid w:val="4BA335AF"/>
    <w:rsid w:val="4BC94021"/>
    <w:rsid w:val="4BEB58D7"/>
    <w:rsid w:val="4C0809AB"/>
    <w:rsid w:val="4CFD3FE3"/>
    <w:rsid w:val="4D1C410B"/>
    <w:rsid w:val="4D354244"/>
    <w:rsid w:val="4EAA7AD3"/>
    <w:rsid w:val="4EC56BAF"/>
    <w:rsid w:val="4EDB73FB"/>
    <w:rsid w:val="4EEC269E"/>
    <w:rsid w:val="4F0056F6"/>
    <w:rsid w:val="4F0B2BF7"/>
    <w:rsid w:val="4F345D0C"/>
    <w:rsid w:val="506C74D1"/>
    <w:rsid w:val="50D4117E"/>
    <w:rsid w:val="50DF5014"/>
    <w:rsid w:val="51043EC0"/>
    <w:rsid w:val="51216EEC"/>
    <w:rsid w:val="512331A2"/>
    <w:rsid w:val="513554D1"/>
    <w:rsid w:val="513C5E30"/>
    <w:rsid w:val="5155754D"/>
    <w:rsid w:val="5271399A"/>
    <w:rsid w:val="528B6069"/>
    <w:rsid w:val="52DF7207"/>
    <w:rsid w:val="537A378B"/>
    <w:rsid w:val="53974B3D"/>
    <w:rsid w:val="53A95A46"/>
    <w:rsid w:val="53AC12DB"/>
    <w:rsid w:val="541371A6"/>
    <w:rsid w:val="543F21A5"/>
    <w:rsid w:val="544C29A3"/>
    <w:rsid w:val="553511FB"/>
    <w:rsid w:val="55375941"/>
    <w:rsid w:val="559A2AA4"/>
    <w:rsid w:val="55E96352"/>
    <w:rsid w:val="566937B9"/>
    <w:rsid w:val="56B700CF"/>
    <w:rsid w:val="571045E2"/>
    <w:rsid w:val="576D52B4"/>
    <w:rsid w:val="57C524CD"/>
    <w:rsid w:val="582D12ED"/>
    <w:rsid w:val="58A17598"/>
    <w:rsid w:val="59255FF5"/>
    <w:rsid w:val="59956DB7"/>
    <w:rsid w:val="59C65A1B"/>
    <w:rsid w:val="5A8C3B8F"/>
    <w:rsid w:val="5B7C273E"/>
    <w:rsid w:val="5BD0141B"/>
    <w:rsid w:val="5CAE5EDF"/>
    <w:rsid w:val="5CB63EB6"/>
    <w:rsid w:val="5CF722FD"/>
    <w:rsid w:val="5D0F796A"/>
    <w:rsid w:val="5D6A14CE"/>
    <w:rsid w:val="5DBD5D29"/>
    <w:rsid w:val="5DBF2A2A"/>
    <w:rsid w:val="5DE44CF5"/>
    <w:rsid w:val="5E791C95"/>
    <w:rsid w:val="5EA3221D"/>
    <w:rsid w:val="5EA66F97"/>
    <w:rsid w:val="5ECD70DE"/>
    <w:rsid w:val="5F98766C"/>
    <w:rsid w:val="610138D7"/>
    <w:rsid w:val="61032959"/>
    <w:rsid w:val="61271B65"/>
    <w:rsid w:val="613F7485"/>
    <w:rsid w:val="620F05C1"/>
    <w:rsid w:val="623F5FB6"/>
    <w:rsid w:val="62BC7372"/>
    <w:rsid w:val="62CA77CE"/>
    <w:rsid w:val="6326497F"/>
    <w:rsid w:val="634C27BB"/>
    <w:rsid w:val="639A6186"/>
    <w:rsid w:val="63C85A4A"/>
    <w:rsid w:val="63FB264E"/>
    <w:rsid w:val="643B652A"/>
    <w:rsid w:val="64E73AB9"/>
    <w:rsid w:val="64F4112F"/>
    <w:rsid w:val="65462941"/>
    <w:rsid w:val="65AB07A2"/>
    <w:rsid w:val="668E728D"/>
    <w:rsid w:val="66BC4289"/>
    <w:rsid w:val="66CC2299"/>
    <w:rsid w:val="66FF40B7"/>
    <w:rsid w:val="670A32E1"/>
    <w:rsid w:val="67CC1E24"/>
    <w:rsid w:val="67E72AB0"/>
    <w:rsid w:val="68155795"/>
    <w:rsid w:val="682567EB"/>
    <w:rsid w:val="69AC7F35"/>
    <w:rsid w:val="69DF2131"/>
    <w:rsid w:val="6A154812"/>
    <w:rsid w:val="6B7B482E"/>
    <w:rsid w:val="6BF77602"/>
    <w:rsid w:val="6C3B202A"/>
    <w:rsid w:val="6C564D84"/>
    <w:rsid w:val="6CD31485"/>
    <w:rsid w:val="6D431A70"/>
    <w:rsid w:val="6D655BCB"/>
    <w:rsid w:val="6D856832"/>
    <w:rsid w:val="6D8B7DF4"/>
    <w:rsid w:val="6DB62387"/>
    <w:rsid w:val="6E2455A9"/>
    <w:rsid w:val="6ECD4AB5"/>
    <w:rsid w:val="6FB00FAA"/>
    <w:rsid w:val="6FFD50BD"/>
    <w:rsid w:val="6FFD6A40"/>
    <w:rsid w:val="70336FAC"/>
    <w:rsid w:val="70627E2F"/>
    <w:rsid w:val="70D20B5B"/>
    <w:rsid w:val="71906080"/>
    <w:rsid w:val="72A75115"/>
    <w:rsid w:val="72E74E88"/>
    <w:rsid w:val="73722A02"/>
    <w:rsid w:val="73D9354B"/>
    <w:rsid w:val="74321829"/>
    <w:rsid w:val="747334C7"/>
    <w:rsid w:val="75594A37"/>
    <w:rsid w:val="75A27392"/>
    <w:rsid w:val="75BD2C10"/>
    <w:rsid w:val="761128FF"/>
    <w:rsid w:val="76B946BB"/>
    <w:rsid w:val="76EE1771"/>
    <w:rsid w:val="770521A1"/>
    <w:rsid w:val="779241ED"/>
    <w:rsid w:val="77A56E63"/>
    <w:rsid w:val="77D9515B"/>
    <w:rsid w:val="77FC075B"/>
    <w:rsid w:val="78253E58"/>
    <w:rsid w:val="78652F7E"/>
    <w:rsid w:val="78722E4F"/>
    <w:rsid w:val="790441FA"/>
    <w:rsid w:val="79A612CD"/>
    <w:rsid w:val="79D02776"/>
    <w:rsid w:val="79EC3D30"/>
    <w:rsid w:val="7A440E3A"/>
    <w:rsid w:val="7AA43AB3"/>
    <w:rsid w:val="7AB435A5"/>
    <w:rsid w:val="7BE03E09"/>
    <w:rsid w:val="7C083390"/>
    <w:rsid w:val="7CA12416"/>
    <w:rsid w:val="7DE83159"/>
    <w:rsid w:val="7E46423F"/>
    <w:rsid w:val="7E7B0B46"/>
    <w:rsid w:val="7E7D69CA"/>
    <w:rsid w:val="7E972C2F"/>
    <w:rsid w:val="7E9E4F9D"/>
    <w:rsid w:val="7EA93DDB"/>
    <w:rsid w:val="7EF53C16"/>
    <w:rsid w:val="7F031ECB"/>
    <w:rsid w:val="7FA761FA"/>
    <w:rsid w:val="7FF60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qFormat/>
    <w:uiPriority w:val="0"/>
    <w:pPr>
      <w:ind w:firstLine="200" w:firstLineChars="200"/>
    </w:pPr>
  </w:style>
  <w:style w:type="paragraph" w:styleId="5">
    <w:name w:val="annotation text"/>
    <w:basedOn w:val="1"/>
    <w:qFormat/>
    <w:uiPriority w:val="0"/>
    <w:pPr>
      <w:jc w:val="left"/>
    </w:pPr>
  </w:style>
  <w:style w:type="paragraph" w:styleId="6">
    <w:name w:val="Body Text 3"/>
    <w:basedOn w:val="1"/>
    <w:unhideWhenUsed/>
    <w:qFormat/>
    <w:uiPriority w:val="99"/>
    <w:pPr>
      <w:spacing w:after="120"/>
    </w:pPr>
    <w:rPr>
      <w:sz w:val="16"/>
      <w:szCs w:val="16"/>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character" w:customStyle="1" w:styleId="16">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2337</Words>
  <Characters>2471</Characters>
  <Lines>1</Lines>
  <Paragraphs>1</Paragraphs>
  <TotalTime>25</TotalTime>
  <ScaleCrop>false</ScaleCrop>
  <LinksUpToDate>false</LinksUpToDate>
  <CharactersWithSpaces>2489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WPS_911694258</cp:lastModifiedBy>
  <cp:lastPrinted>2026-05-20T02:34:27Z</cp:lastPrinted>
  <dcterms:modified xsi:type="dcterms:W3CDTF">2026-05-20T02:40:29Z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eyJoZGlkIjoiZWI2MGQyNzA1NzQ2MzllZmNjNzExNWJjOTc2OGJiYTIiLCJ1c2VySWQiOiI5MTE2OTQyNTgifQ==</vt:lpwstr>
  </property>
  <property fmtid="{D5CDD505-2E9C-101B-9397-08002B2CF9AE}" pid="4" name="ICV">
    <vt:lpwstr>29B9332E15334D1E93A45712C49C02A9_13</vt:lpwstr>
  </property>
</Properties>
</file>