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1C9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大邑县人民医院</w:t>
      </w:r>
    </w:p>
    <w:p w14:paraId="338B23D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窗帘、隔帘等零星安装服务采购项目（二次）比选</w:t>
      </w:r>
      <w:r>
        <w:rPr>
          <w:rFonts w:hint="eastAsia" w:ascii="宋体" w:hAnsi="宋体" w:eastAsia="宋体" w:cs="宋体"/>
          <w:b/>
          <w:bCs/>
          <w:sz w:val="32"/>
          <w:szCs w:val="32"/>
          <w:vertAlign w:val="baseline"/>
          <w:lang w:eastAsia="zh-CN"/>
        </w:rPr>
        <w:t>文件</w:t>
      </w:r>
    </w:p>
    <w:p w14:paraId="78B941F7">
      <w:pPr>
        <w:pStyle w:val="2"/>
        <w:rPr>
          <w:rFonts w:hint="eastAsia"/>
          <w:lang w:eastAsia="zh-CN"/>
        </w:rPr>
      </w:pPr>
    </w:p>
    <w:p w14:paraId="6C876DE5">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一、项目名称：</w:t>
      </w:r>
      <w:r>
        <w:rPr>
          <w:rFonts w:hint="eastAsia" w:ascii="宋体" w:hAnsi="宋体" w:eastAsia="宋体" w:cs="宋体"/>
          <w:b w:val="0"/>
          <w:bCs w:val="0"/>
          <w:sz w:val="24"/>
          <w:szCs w:val="24"/>
          <w:u w:val="single"/>
          <w:lang w:val="en-US" w:eastAsia="zh-CN"/>
        </w:rPr>
        <w:t>窗帘、隔帘等零星安装服务</w:t>
      </w:r>
      <w:r>
        <w:rPr>
          <w:rFonts w:hint="eastAsia" w:ascii="宋体" w:hAnsi="宋体" w:eastAsia="宋体" w:cs="宋体"/>
          <w:b w:val="0"/>
          <w:bCs w:val="0"/>
          <w:sz w:val="24"/>
          <w:szCs w:val="24"/>
          <w:u w:val="single"/>
        </w:rPr>
        <w:t>采购项目</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lang w:val="en-US" w:eastAsia="zh-CN"/>
        </w:rPr>
        <w:t>二次</w:t>
      </w:r>
      <w:bookmarkStart w:id="1" w:name="_GoBack"/>
      <w:bookmarkEnd w:id="1"/>
      <w:r>
        <w:rPr>
          <w:rFonts w:hint="eastAsia" w:ascii="宋体" w:hAnsi="宋体" w:eastAsia="宋体" w:cs="宋体"/>
          <w:b w:val="0"/>
          <w:bCs w:val="0"/>
          <w:sz w:val="24"/>
          <w:szCs w:val="24"/>
          <w:u w:val="single"/>
          <w:lang w:eastAsia="zh-CN"/>
        </w:rPr>
        <w:t>）</w:t>
      </w:r>
    </w:p>
    <w:p w14:paraId="4CFA0A9D">
      <w:pPr>
        <w:pageBreakBefore w:val="0"/>
        <w:widowControl w:val="0"/>
        <w:kinsoku/>
        <w:wordWrap/>
        <w:overflowPunct/>
        <w:topLinePunct w:val="0"/>
        <w:autoSpaceDE/>
        <w:autoSpaceDN/>
        <w:bidi w:val="0"/>
        <w:adjustRightInd/>
        <w:snapToGrid/>
        <w:spacing w:after="0" w:line="360" w:lineRule="auto"/>
        <w:ind w:left="1926" w:leftChars="218" w:hanging="1446" w:hangingChars="600"/>
        <w:textAlignment w:val="auto"/>
        <w:rPr>
          <w:rFonts w:hint="default"/>
          <w:b/>
          <w:bCs/>
          <w:lang w:val="en-US" w:eastAsia="zh-CN"/>
        </w:rPr>
      </w:pPr>
      <w:r>
        <w:rPr>
          <w:rFonts w:hint="eastAsia" w:ascii="宋体" w:hAnsi="宋体" w:eastAsia="宋体" w:cs="宋体"/>
          <w:b/>
          <w:bCs/>
          <w:sz w:val="24"/>
          <w:szCs w:val="24"/>
          <w:lang w:val="en-US" w:eastAsia="zh-CN"/>
        </w:rPr>
        <w:t>二、项目预算：</w:t>
      </w:r>
      <w:r>
        <w:rPr>
          <w:rFonts w:hint="eastAsia" w:ascii="宋体" w:hAnsi="宋体" w:eastAsia="宋体" w:cs="宋体"/>
          <w:b w:val="0"/>
          <w:bCs w:val="0"/>
          <w:sz w:val="24"/>
          <w:szCs w:val="24"/>
          <w:lang w:val="en-US" w:eastAsia="zh-CN"/>
        </w:rPr>
        <w:t>本项目采购预算为3.9万元/年，一采三年合同一年一签。</w:t>
      </w:r>
      <w:r>
        <w:rPr>
          <w:rFonts w:hint="eastAsia" w:ascii="宋体" w:hAnsi="宋体" w:eastAsia="宋体" w:cs="宋体"/>
          <w:b/>
          <w:bCs/>
          <w:color w:val="000000"/>
          <w:kern w:val="0"/>
          <w:sz w:val="24"/>
          <w:szCs w:val="24"/>
          <w:lang w:val="en-US" w:eastAsia="zh-CN"/>
        </w:rPr>
        <w:t>（供应商报价为单价最高限价报统一下浮率）</w:t>
      </w:r>
    </w:p>
    <w:p w14:paraId="4D75408F">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三、产品清单</w:t>
      </w:r>
    </w:p>
    <w:tbl>
      <w:tblPr>
        <w:tblStyle w:val="10"/>
        <w:tblW w:w="8578" w:type="dxa"/>
        <w:tblInd w:w="0" w:type="dxa"/>
        <w:tblLayout w:type="fixed"/>
        <w:tblCellMar>
          <w:top w:w="0" w:type="dxa"/>
          <w:left w:w="108" w:type="dxa"/>
          <w:bottom w:w="0" w:type="dxa"/>
          <w:right w:w="108" w:type="dxa"/>
        </w:tblCellMar>
      </w:tblPr>
      <w:tblGrid>
        <w:gridCol w:w="793"/>
        <w:gridCol w:w="2231"/>
        <w:gridCol w:w="1549"/>
        <w:gridCol w:w="960"/>
        <w:gridCol w:w="1065"/>
        <w:gridCol w:w="1980"/>
      </w:tblGrid>
      <w:tr w14:paraId="7A707DE5">
        <w:tblPrEx>
          <w:tblCellMar>
            <w:top w:w="0" w:type="dxa"/>
            <w:left w:w="108" w:type="dxa"/>
            <w:bottom w:w="0" w:type="dxa"/>
            <w:right w:w="108" w:type="dxa"/>
          </w:tblCellMar>
        </w:tblPrEx>
        <w:trPr>
          <w:trHeight w:val="602"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6CECD37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231" w:type="dxa"/>
            <w:tcBorders>
              <w:top w:val="single" w:color="auto" w:sz="4" w:space="0"/>
              <w:left w:val="nil"/>
              <w:bottom w:val="single" w:color="auto" w:sz="4" w:space="0"/>
              <w:right w:val="single" w:color="auto" w:sz="4" w:space="0"/>
            </w:tcBorders>
            <w:shd w:val="clear" w:color="000000" w:fill="FFFFFF"/>
            <w:vAlign w:val="center"/>
          </w:tcPr>
          <w:p w14:paraId="7515C50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9" w:type="dxa"/>
            <w:tcBorders>
              <w:top w:val="single" w:color="auto" w:sz="4" w:space="0"/>
              <w:left w:val="nil"/>
              <w:bottom w:val="single" w:color="auto" w:sz="4" w:space="0"/>
              <w:right w:val="single" w:color="auto" w:sz="4" w:space="0"/>
            </w:tcBorders>
            <w:shd w:val="clear" w:color="000000" w:fill="FFFFFF"/>
            <w:vAlign w:val="center"/>
          </w:tcPr>
          <w:p w14:paraId="332A160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w:t>
            </w:r>
          </w:p>
        </w:tc>
        <w:tc>
          <w:tcPr>
            <w:tcW w:w="960" w:type="dxa"/>
            <w:tcBorders>
              <w:top w:val="single" w:color="auto" w:sz="4" w:space="0"/>
              <w:left w:val="nil"/>
              <w:bottom w:val="single" w:color="auto" w:sz="4" w:space="0"/>
              <w:right w:val="single" w:color="auto" w:sz="4" w:space="0"/>
            </w:tcBorders>
            <w:shd w:val="clear" w:color="000000" w:fill="FFFFFF"/>
            <w:vAlign w:val="center"/>
          </w:tcPr>
          <w:p w14:paraId="3E2A993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065" w:type="dxa"/>
            <w:tcBorders>
              <w:top w:val="single" w:color="auto" w:sz="4" w:space="0"/>
              <w:left w:val="nil"/>
              <w:bottom w:val="single" w:color="auto" w:sz="4" w:space="0"/>
              <w:right w:val="single" w:color="auto" w:sz="4" w:space="0"/>
            </w:tcBorders>
            <w:shd w:val="clear" w:color="000000" w:fill="FFFFFF"/>
            <w:vAlign w:val="center"/>
          </w:tcPr>
          <w:p w14:paraId="57F5817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980" w:type="dxa"/>
            <w:tcBorders>
              <w:top w:val="single" w:color="auto" w:sz="4" w:space="0"/>
              <w:left w:val="nil"/>
              <w:bottom w:val="single" w:color="auto" w:sz="4" w:space="0"/>
              <w:right w:val="single" w:color="auto" w:sz="4" w:space="0"/>
            </w:tcBorders>
            <w:shd w:val="clear" w:color="000000" w:fill="FFFFFF"/>
            <w:vAlign w:val="center"/>
          </w:tcPr>
          <w:p w14:paraId="07301ED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单价限价（元）</w:t>
            </w:r>
          </w:p>
        </w:tc>
      </w:tr>
      <w:tr w14:paraId="45095DCA">
        <w:tblPrEx>
          <w:tblCellMar>
            <w:top w:w="0" w:type="dxa"/>
            <w:left w:w="108" w:type="dxa"/>
            <w:bottom w:w="0" w:type="dxa"/>
            <w:right w:w="108" w:type="dxa"/>
          </w:tblCellMar>
        </w:tblPrEx>
        <w:trPr>
          <w:trHeight w:val="557"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2B9277E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231" w:type="dxa"/>
            <w:tcBorders>
              <w:top w:val="single" w:color="auto" w:sz="4" w:space="0"/>
              <w:left w:val="nil"/>
              <w:bottom w:val="single" w:color="auto" w:sz="4" w:space="0"/>
              <w:right w:val="single" w:color="auto" w:sz="4" w:space="0"/>
            </w:tcBorders>
            <w:shd w:val="clear" w:color="000000" w:fill="FFFFFF"/>
            <w:vAlign w:val="center"/>
          </w:tcPr>
          <w:p w14:paraId="434FF15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窗帘-普通</w:t>
            </w:r>
          </w:p>
        </w:tc>
        <w:tc>
          <w:tcPr>
            <w:tcW w:w="1549" w:type="dxa"/>
            <w:tcBorders>
              <w:top w:val="single" w:color="auto" w:sz="4" w:space="0"/>
              <w:left w:val="nil"/>
              <w:bottom w:val="single" w:color="auto" w:sz="4" w:space="0"/>
              <w:right w:val="single" w:color="auto" w:sz="4" w:space="0"/>
            </w:tcBorders>
            <w:shd w:val="clear" w:color="000000" w:fill="FFFFFF"/>
            <w:vAlign w:val="center"/>
          </w:tcPr>
          <w:p w14:paraId="726F233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单面麻</w:t>
            </w:r>
          </w:p>
        </w:tc>
        <w:tc>
          <w:tcPr>
            <w:tcW w:w="960" w:type="dxa"/>
            <w:tcBorders>
              <w:top w:val="single" w:color="auto" w:sz="4" w:space="0"/>
              <w:left w:val="nil"/>
              <w:bottom w:val="single" w:color="auto" w:sz="4" w:space="0"/>
              <w:right w:val="single" w:color="auto" w:sz="4" w:space="0"/>
            </w:tcBorders>
            <w:shd w:val="clear" w:color="000000" w:fill="FFFFFF"/>
            <w:vAlign w:val="center"/>
          </w:tcPr>
          <w:p w14:paraId="2D75702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nil"/>
              <w:bottom w:val="single" w:color="auto" w:sz="4" w:space="0"/>
              <w:right w:val="single" w:color="auto" w:sz="4" w:space="0"/>
            </w:tcBorders>
            <w:shd w:val="clear" w:color="000000" w:fill="FFFFFF"/>
            <w:vAlign w:val="center"/>
          </w:tcPr>
          <w:p w14:paraId="77B3D22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nil"/>
              <w:bottom w:val="single" w:color="auto" w:sz="4" w:space="0"/>
              <w:right w:val="single" w:color="auto" w:sz="4" w:space="0"/>
            </w:tcBorders>
            <w:shd w:val="clear" w:color="000000" w:fill="FFFFFF"/>
            <w:vAlign w:val="center"/>
          </w:tcPr>
          <w:p w14:paraId="6A67138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72</w:t>
            </w:r>
          </w:p>
        </w:tc>
      </w:tr>
      <w:tr w14:paraId="288CEAE8">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73F7B0F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2A4B36B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窗帘-避光</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650AF17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双面麻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2EBA481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25E8140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3266455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98</w:t>
            </w:r>
          </w:p>
        </w:tc>
      </w:tr>
      <w:tr w14:paraId="232ED688">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3449D98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707D7C4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轨道（直轨）</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3AC6F2D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铝合金</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05924CB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453F3C4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077A32C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34</w:t>
            </w:r>
          </w:p>
        </w:tc>
      </w:tr>
      <w:tr w14:paraId="4E1DFE82">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3870E15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74713D0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轨道（弯轨）</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661AAE6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铝合金</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0E42881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6CA1875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20CF431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39</w:t>
            </w:r>
          </w:p>
        </w:tc>
      </w:tr>
      <w:tr w14:paraId="17226AF2">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0907C19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4B49FD2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竖百叶窗帘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3CFC81B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亚麻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3D0A560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105920B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6D26F7E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186</w:t>
            </w:r>
          </w:p>
        </w:tc>
      </w:tr>
      <w:tr w14:paraId="4573E1E2">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1034A63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7E84AC2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横百叶窗帘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2793473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PVC高分子</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2353F22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2CB6CA3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1F7EEC7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123</w:t>
            </w:r>
          </w:p>
        </w:tc>
      </w:tr>
      <w:tr w14:paraId="75399640">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4740CAA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0702A89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防火窗帘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5AF7427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B1阻燃材料</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70DFA73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04CEABD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30FDD0C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128</w:t>
            </w:r>
          </w:p>
        </w:tc>
      </w:tr>
      <w:tr w14:paraId="638F1F4C">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1E6128F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26E4590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隔断帘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243F971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涤伦麻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3303FA0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0B9157B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14096AA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68</w:t>
            </w:r>
          </w:p>
        </w:tc>
      </w:tr>
      <w:tr w14:paraId="18865ABA">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17FC584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3EBC037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门帘（磁吸）</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39FA92C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3D359F8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3DA6F47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23D7995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147</w:t>
            </w:r>
          </w:p>
        </w:tc>
      </w:tr>
      <w:tr w14:paraId="05F362C2">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0FAED0C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683913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门帘（普通）</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5C2ADCC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7C856A7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1B59D6E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50804D8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116</w:t>
            </w:r>
          </w:p>
        </w:tc>
      </w:tr>
      <w:tr w14:paraId="75A6F8C7">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003CFAD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35B09D5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卷帘（半遮光）</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09C97FD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PVC亚麻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3FC9922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45BF2F0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1EAB2D2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71</w:t>
            </w:r>
          </w:p>
        </w:tc>
      </w:tr>
      <w:tr w14:paraId="694000BA">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6406BF2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76A2AB9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卷帘（全遮光）</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48FF11B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PVC亚麻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14C1EF2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370A754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70F206F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87</w:t>
            </w:r>
          </w:p>
        </w:tc>
      </w:tr>
      <w:tr w14:paraId="22F12B5C">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42447C8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7B65AB5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防蚊门帘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523E218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网纱</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3E0D9A5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5CB3FFF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1C38605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w:t>
            </w:r>
          </w:p>
        </w:tc>
      </w:tr>
    </w:tbl>
    <w:p w14:paraId="1602939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lang w:val="en-US" w:eastAsia="zh-CN"/>
        </w:rPr>
      </w:pPr>
    </w:p>
    <w:p w14:paraId="08139CA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b/>
          <w:sz w:val="24"/>
          <w:lang w:val="en-US" w:eastAsia="zh-CN"/>
        </w:rPr>
      </w:pPr>
      <w:bookmarkStart w:id="0" w:name="OLE_LINK1"/>
      <w:r>
        <w:rPr>
          <w:rFonts w:hint="eastAsia" w:ascii="宋体" w:hAnsi="宋体" w:eastAsia="宋体" w:cs="宋体"/>
          <w:kern w:val="0"/>
          <w:sz w:val="24"/>
          <w:lang w:val="en-US" w:eastAsia="zh-CN"/>
        </w:rPr>
        <w:t>★</w:t>
      </w:r>
      <w:bookmarkEnd w:id="0"/>
      <w:r>
        <w:rPr>
          <w:rFonts w:hint="eastAsia" w:ascii="宋体" w:hAnsi="宋体" w:eastAsia="宋体" w:cs="宋体"/>
          <w:b/>
          <w:sz w:val="24"/>
          <w:lang w:val="en-US" w:eastAsia="zh-CN"/>
        </w:rPr>
        <w:t>四、技术要求</w:t>
      </w:r>
    </w:p>
    <w:tbl>
      <w:tblPr>
        <w:tblStyle w:val="11"/>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710"/>
        <w:gridCol w:w="2280"/>
        <w:gridCol w:w="3362"/>
      </w:tblGrid>
      <w:tr w14:paraId="7AD1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4" w:type="dxa"/>
            <w:vAlign w:val="center"/>
          </w:tcPr>
          <w:p w14:paraId="314F536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990" w:type="dxa"/>
            <w:gridSpan w:val="2"/>
            <w:vAlign w:val="center"/>
          </w:tcPr>
          <w:p w14:paraId="0AB2B42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项目</w:t>
            </w:r>
          </w:p>
        </w:tc>
        <w:tc>
          <w:tcPr>
            <w:tcW w:w="3362" w:type="dxa"/>
            <w:vAlign w:val="center"/>
          </w:tcPr>
          <w:p w14:paraId="32378DE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技术要求</w:t>
            </w:r>
          </w:p>
        </w:tc>
      </w:tr>
      <w:tr w14:paraId="2C65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4B04DF0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990" w:type="dxa"/>
            <w:gridSpan w:val="2"/>
            <w:vAlign w:val="center"/>
          </w:tcPr>
          <w:p w14:paraId="15145B5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甲醛</w:t>
            </w:r>
            <w:r>
              <w:rPr>
                <w:rFonts w:hint="eastAsia" w:ascii="宋体" w:hAnsi="宋体" w:eastAsia="宋体" w:cs="宋体"/>
                <w:sz w:val="24"/>
                <w:szCs w:val="24"/>
                <w:vertAlign w:val="baseline"/>
              </w:rPr>
              <w:t>含量</w:t>
            </w:r>
          </w:p>
        </w:tc>
        <w:tc>
          <w:tcPr>
            <w:tcW w:w="3362" w:type="dxa"/>
            <w:vAlign w:val="center"/>
          </w:tcPr>
          <w:p w14:paraId="3748D050">
            <w:pPr>
              <w:pStyle w:val="14"/>
              <w:widowControl w:val="0"/>
              <w:ind w:firstLine="720" w:firstLineChars="300"/>
              <w:jc w:val="left"/>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≤300mg/kg</w:t>
            </w:r>
          </w:p>
        </w:tc>
      </w:tr>
      <w:tr w14:paraId="002F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6FA6372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990" w:type="dxa"/>
            <w:gridSpan w:val="2"/>
            <w:vAlign w:val="center"/>
          </w:tcPr>
          <w:p w14:paraId="263289C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PH值</w:t>
            </w:r>
          </w:p>
        </w:tc>
        <w:tc>
          <w:tcPr>
            <w:tcW w:w="3362" w:type="dxa"/>
            <w:vAlign w:val="center"/>
          </w:tcPr>
          <w:p w14:paraId="6EE4F953">
            <w:pPr>
              <w:keepNext w:val="0"/>
              <w:keepLines w:val="0"/>
              <w:pageBreakBefore w:val="0"/>
              <w:widowControl/>
              <w:kinsoku/>
              <w:wordWrap/>
              <w:overflowPunct/>
              <w:topLinePunct w:val="0"/>
              <w:autoSpaceDE/>
              <w:autoSpaceDN/>
              <w:bidi w:val="0"/>
              <w:adjustRightInd w:val="0"/>
              <w:snapToGrid w:val="0"/>
              <w:spacing w:after="0" w:line="400" w:lineRule="exact"/>
              <w:ind w:firstLine="277"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4.0－9.0</w:t>
            </w:r>
          </w:p>
        </w:tc>
      </w:tr>
      <w:tr w14:paraId="649A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2CB43F8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990" w:type="dxa"/>
            <w:gridSpan w:val="2"/>
            <w:vAlign w:val="center"/>
          </w:tcPr>
          <w:p w14:paraId="78F5B0DF">
            <w:pPr>
              <w:keepNext w:val="0"/>
              <w:keepLines w:val="0"/>
              <w:pageBreakBefore w:val="0"/>
              <w:widowControl/>
              <w:kinsoku/>
              <w:wordWrap/>
              <w:overflowPunct/>
              <w:topLinePunct w:val="0"/>
              <w:autoSpaceDE/>
              <w:autoSpaceDN/>
              <w:bidi w:val="0"/>
              <w:adjustRightInd w:val="0"/>
              <w:snapToGrid w:val="0"/>
              <w:spacing w:after="0" w:line="400" w:lineRule="exact"/>
              <w:ind w:firstLine="226"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可分解致癌芳香胺</w:t>
            </w:r>
          </w:p>
          <w:p w14:paraId="29971F1A">
            <w:pPr>
              <w:keepNext w:val="0"/>
              <w:keepLines w:val="0"/>
              <w:pageBreakBefore w:val="0"/>
              <w:widowControl/>
              <w:kinsoku/>
              <w:wordWrap/>
              <w:overflowPunct/>
              <w:topLinePunct w:val="0"/>
              <w:autoSpaceDE/>
              <w:autoSpaceDN/>
              <w:bidi w:val="0"/>
              <w:adjustRightInd w:val="0"/>
              <w:snapToGrid w:val="0"/>
              <w:spacing w:after="0" w:line="400" w:lineRule="exact"/>
              <w:ind w:firstLine="226"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染料</w:t>
            </w:r>
          </w:p>
        </w:tc>
        <w:tc>
          <w:tcPr>
            <w:tcW w:w="3362" w:type="dxa"/>
            <w:vAlign w:val="center"/>
          </w:tcPr>
          <w:p w14:paraId="5DEDBFD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禁用</w:t>
            </w:r>
          </w:p>
        </w:tc>
      </w:tr>
      <w:tr w14:paraId="2200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504" w:type="dxa"/>
            <w:vAlign w:val="center"/>
          </w:tcPr>
          <w:p w14:paraId="1A66A60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990" w:type="dxa"/>
            <w:gridSpan w:val="2"/>
            <w:vAlign w:val="center"/>
          </w:tcPr>
          <w:p w14:paraId="461A289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可萃取铅含量</w:t>
            </w:r>
          </w:p>
        </w:tc>
        <w:tc>
          <w:tcPr>
            <w:tcW w:w="3362" w:type="dxa"/>
            <w:vAlign w:val="center"/>
          </w:tcPr>
          <w:p w14:paraId="2D84AAA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≤1.0</w:t>
            </w:r>
          </w:p>
        </w:tc>
      </w:tr>
      <w:tr w14:paraId="490A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4" w:type="dxa"/>
            <w:vAlign w:val="center"/>
          </w:tcPr>
          <w:p w14:paraId="36A056C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990" w:type="dxa"/>
            <w:gridSpan w:val="2"/>
            <w:vAlign w:val="center"/>
          </w:tcPr>
          <w:p w14:paraId="352D54F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可萃取铬含量</w:t>
            </w:r>
          </w:p>
        </w:tc>
        <w:tc>
          <w:tcPr>
            <w:tcW w:w="3362" w:type="dxa"/>
            <w:vAlign w:val="center"/>
          </w:tcPr>
          <w:p w14:paraId="47CA7C9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≤2.0</w:t>
            </w:r>
          </w:p>
        </w:tc>
      </w:tr>
      <w:tr w14:paraId="4257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Merge w:val="restart"/>
            <w:vAlign w:val="center"/>
          </w:tcPr>
          <w:p w14:paraId="3A17AB5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710" w:type="dxa"/>
            <w:vMerge w:val="restart"/>
            <w:vAlign w:val="center"/>
          </w:tcPr>
          <w:p w14:paraId="6AC60E8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耐洗色牢度</w:t>
            </w:r>
          </w:p>
        </w:tc>
        <w:tc>
          <w:tcPr>
            <w:tcW w:w="2280" w:type="dxa"/>
            <w:vAlign w:val="center"/>
          </w:tcPr>
          <w:p w14:paraId="31065E4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变色</w:t>
            </w:r>
          </w:p>
        </w:tc>
        <w:tc>
          <w:tcPr>
            <w:tcW w:w="3362" w:type="dxa"/>
            <w:vAlign w:val="center"/>
          </w:tcPr>
          <w:p w14:paraId="01E65FD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4</w:t>
            </w:r>
          </w:p>
        </w:tc>
      </w:tr>
      <w:tr w14:paraId="0845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vMerge w:val="continue"/>
            <w:vAlign w:val="center"/>
          </w:tcPr>
          <w:p w14:paraId="375D3D3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710" w:type="dxa"/>
            <w:vMerge w:val="continue"/>
            <w:vAlign w:val="center"/>
          </w:tcPr>
          <w:p w14:paraId="6B57F41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p>
        </w:tc>
        <w:tc>
          <w:tcPr>
            <w:tcW w:w="2280" w:type="dxa"/>
            <w:vAlign w:val="center"/>
          </w:tcPr>
          <w:p w14:paraId="457C60B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沾色</w:t>
            </w:r>
          </w:p>
        </w:tc>
        <w:tc>
          <w:tcPr>
            <w:tcW w:w="3362" w:type="dxa"/>
            <w:vAlign w:val="center"/>
          </w:tcPr>
          <w:p w14:paraId="0C3C2FC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4</w:t>
            </w:r>
          </w:p>
        </w:tc>
      </w:tr>
      <w:tr w14:paraId="7A7C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4" w:type="dxa"/>
            <w:vMerge w:val="restart"/>
            <w:vAlign w:val="center"/>
          </w:tcPr>
          <w:p w14:paraId="34129ED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710" w:type="dxa"/>
            <w:vMerge w:val="restart"/>
            <w:vAlign w:val="center"/>
          </w:tcPr>
          <w:p w14:paraId="693D2D6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水洗尺寸变化率</w:t>
            </w:r>
          </w:p>
        </w:tc>
        <w:tc>
          <w:tcPr>
            <w:tcW w:w="2280" w:type="dxa"/>
            <w:vAlign w:val="center"/>
          </w:tcPr>
          <w:p w14:paraId="71D01C2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径向</w:t>
            </w:r>
          </w:p>
        </w:tc>
        <w:tc>
          <w:tcPr>
            <w:tcW w:w="3362" w:type="dxa"/>
            <w:vAlign w:val="center"/>
          </w:tcPr>
          <w:p w14:paraId="1C4AC2F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-4.0～+3.0</w:t>
            </w:r>
          </w:p>
        </w:tc>
      </w:tr>
      <w:tr w14:paraId="1628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4" w:type="dxa"/>
            <w:vMerge w:val="continue"/>
            <w:vAlign w:val="center"/>
          </w:tcPr>
          <w:p w14:paraId="393F76D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1710" w:type="dxa"/>
            <w:vMerge w:val="continue"/>
            <w:vAlign w:val="center"/>
          </w:tcPr>
          <w:p w14:paraId="67C01F3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2280" w:type="dxa"/>
            <w:vAlign w:val="center"/>
          </w:tcPr>
          <w:p w14:paraId="2EE078C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纬向</w:t>
            </w:r>
          </w:p>
        </w:tc>
        <w:tc>
          <w:tcPr>
            <w:tcW w:w="3362" w:type="dxa"/>
            <w:vAlign w:val="center"/>
          </w:tcPr>
          <w:p w14:paraId="20DEA62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-4.0～+3.0</w:t>
            </w:r>
          </w:p>
        </w:tc>
      </w:tr>
      <w:tr w14:paraId="5036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04" w:type="dxa"/>
            <w:vMerge w:val="restart"/>
            <w:vAlign w:val="center"/>
          </w:tcPr>
          <w:p w14:paraId="56F4DF6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10" w:type="dxa"/>
            <w:vMerge w:val="restart"/>
            <w:vAlign w:val="center"/>
          </w:tcPr>
          <w:p w14:paraId="2F9C2D2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防紫外线</w:t>
            </w:r>
            <w:r>
              <w:rPr>
                <w:rFonts w:hint="eastAsia" w:ascii="宋体" w:hAnsi="宋体" w:eastAsia="宋体" w:cs="宋体"/>
                <w:sz w:val="24"/>
                <w:szCs w:val="24"/>
                <w:vertAlign w:val="baseline"/>
                <w:lang w:val="en-US" w:eastAsia="zh-CN"/>
              </w:rPr>
              <w:t>性能</w:t>
            </w:r>
          </w:p>
        </w:tc>
        <w:tc>
          <w:tcPr>
            <w:tcW w:w="2280" w:type="dxa"/>
            <w:vAlign w:val="center"/>
          </w:tcPr>
          <w:p w14:paraId="5BF4317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UPF值</w:t>
            </w:r>
          </w:p>
        </w:tc>
        <w:tc>
          <w:tcPr>
            <w:tcW w:w="3362" w:type="dxa"/>
            <w:vAlign w:val="center"/>
          </w:tcPr>
          <w:p w14:paraId="4505EB3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40</w:t>
            </w:r>
          </w:p>
        </w:tc>
      </w:tr>
      <w:tr w14:paraId="3599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04" w:type="dxa"/>
            <w:vMerge w:val="continue"/>
            <w:vAlign w:val="center"/>
          </w:tcPr>
          <w:p w14:paraId="3411D25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1710" w:type="dxa"/>
            <w:vMerge w:val="continue"/>
            <w:vAlign w:val="center"/>
          </w:tcPr>
          <w:p w14:paraId="2BCEE36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2280" w:type="dxa"/>
            <w:vAlign w:val="center"/>
          </w:tcPr>
          <w:p w14:paraId="5C5109E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T(UVA)</w:t>
            </w:r>
            <w:r>
              <w:rPr>
                <w:rFonts w:hint="eastAsia" w:ascii="宋体" w:hAnsi="宋体" w:eastAsia="宋体" w:cs="宋体"/>
                <w:sz w:val="24"/>
                <w:szCs w:val="24"/>
                <w:vertAlign w:val="subscript"/>
                <w:lang w:val="en-US" w:eastAsia="zh-CN"/>
              </w:rPr>
              <w:t>AV</w:t>
            </w:r>
            <w:r>
              <w:rPr>
                <w:rFonts w:hint="eastAsia" w:ascii="宋体" w:hAnsi="宋体" w:eastAsia="宋体" w:cs="宋体"/>
                <w:sz w:val="24"/>
                <w:szCs w:val="24"/>
                <w:vertAlign w:val="baseline"/>
                <w:lang w:val="en-US" w:eastAsia="zh-CN"/>
              </w:rPr>
              <w:t>(%)</w:t>
            </w:r>
          </w:p>
        </w:tc>
        <w:tc>
          <w:tcPr>
            <w:tcW w:w="3362" w:type="dxa"/>
            <w:vAlign w:val="center"/>
          </w:tcPr>
          <w:p w14:paraId="745B5DE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w:t>
            </w:r>
          </w:p>
        </w:tc>
      </w:tr>
      <w:tr w14:paraId="29F0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4" w:type="dxa"/>
            <w:vAlign w:val="center"/>
          </w:tcPr>
          <w:p w14:paraId="56BE4C2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3990" w:type="dxa"/>
            <w:gridSpan w:val="2"/>
            <w:vAlign w:val="center"/>
          </w:tcPr>
          <w:p w14:paraId="6D65D12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遮光率</w:t>
            </w:r>
          </w:p>
        </w:tc>
        <w:tc>
          <w:tcPr>
            <w:tcW w:w="3362" w:type="dxa"/>
            <w:vAlign w:val="center"/>
          </w:tcPr>
          <w:p w14:paraId="11BFC86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≥99%</w:t>
            </w:r>
          </w:p>
        </w:tc>
      </w:tr>
      <w:tr w14:paraId="04EB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04" w:type="dxa"/>
            <w:vAlign w:val="center"/>
          </w:tcPr>
          <w:p w14:paraId="5E20597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3990" w:type="dxa"/>
            <w:gridSpan w:val="2"/>
            <w:vAlign w:val="center"/>
          </w:tcPr>
          <w:p w14:paraId="298D2E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轨道</w:t>
            </w:r>
          </w:p>
        </w:tc>
        <w:tc>
          <w:tcPr>
            <w:tcW w:w="3362" w:type="dxa"/>
            <w:vAlign w:val="center"/>
          </w:tcPr>
          <w:p w14:paraId="461DC1E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铝合金静音轨道</w:t>
            </w:r>
          </w:p>
        </w:tc>
      </w:tr>
      <w:tr w14:paraId="7172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04" w:type="dxa"/>
            <w:vAlign w:val="center"/>
          </w:tcPr>
          <w:p w14:paraId="538C2CA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3990" w:type="dxa"/>
            <w:gridSpan w:val="2"/>
            <w:vAlign w:val="center"/>
          </w:tcPr>
          <w:p w14:paraId="4AD5052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隔音</w:t>
            </w:r>
          </w:p>
        </w:tc>
        <w:tc>
          <w:tcPr>
            <w:tcW w:w="3362" w:type="dxa"/>
            <w:vAlign w:val="center"/>
          </w:tcPr>
          <w:p w14:paraId="7236FD4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30dB-40dB</w:t>
            </w:r>
          </w:p>
        </w:tc>
      </w:tr>
      <w:tr w14:paraId="61E2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04" w:type="dxa"/>
            <w:vAlign w:val="center"/>
          </w:tcPr>
          <w:p w14:paraId="2E26168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990" w:type="dxa"/>
            <w:gridSpan w:val="2"/>
            <w:vAlign w:val="center"/>
          </w:tcPr>
          <w:p w14:paraId="51D6F42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阻燃</w:t>
            </w:r>
          </w:p>
        </w:tc>
        <w:tc>
          <w:tcPr>
            <w:tcW w:w="3362" w:type="dxa"/>
            <w:vAlign w:val="center"/>
          </w:tcPr>
          <w:p w14:paraId="287D464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vertAlign w:val="baseline"/>
                <w:lang w:val="en-US" w:eastAsia="zh-CN" w:bidi="ar-SA"/>
              </w:rPr>
              <w:t>阻燃性能B1级</w:t>
            </w:r>
          </w:p>
        </w:tc>
      </w:tr>
    </w:tbl>
    <w:p w14:paraId="2672524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b/>
          <w:bCs/>
          <w:sz w:val="24"/>
          <w:lang w:val="en-US" w:eastAsia="zh-CN"/>
        </w:rPr>
      </w:pPr>
    </w:p>
    <w:p w14:paraId="74E2CCA9">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五、申请人参加本次比选活动，应当具备下列条件：</w:t>
      </w:r>
    </w:p>
    <w:p w14:paraId="51EB34A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488D652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316F7E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6943108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6975404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5.参加本次比选活动前三年内，在经营活动中没有重大违法记录；未处于财产被接管、冻结、破产状态，未处于有关行政处罚期间，未处于投标禁入期内。</w:t>
      </w:r>
    </w:p>
    <w:p w14:paraId="5AD5BD3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3A87AB0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6.1单位负责人为同一人或者存在直接控股、管理关系的不同比选申请人，不得参加同一合同项下的比选活动。</w:t>
      </w:r>
    </w:p>
    <w:p w14:paraId="4AFA3E5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6.2供应商单位及其法定代表人、主要负责人不得具有行贿犯罪记录。</w:t>
      </w:r>
    </w:p>
    <w:p w14:paraId="1133230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6.3拒绝列入失信被执行人、重大税收违法案件当事人名单、政府采购严重违法失信行为记录名单的比选申请人参加本次比选活动；</w:t>
      </w:r>
    </w:p>
    <w:p w14:paraId="4D25FFE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7.本项目不接受联合体参加比选。</w:t>
      </w:r>
    </w:p>
    <w:p w14:paraId="2DF6639F">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lang w:val="en-US"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商务要求</w:t>
      </w:r>
    </w:p>
    <w:p w14:paraId="2E15E10D">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1.服务地点：大邑县人民医院（所有院区）。</w:t>
      </w:r>
    </w:p>
    <w:p w14:paraId="422C152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sz w:val="24"/>
          <w:szCs w:val="22"/>
        </w:rPr>
      </w:pPr>
      <w:r>
        <w:rPr>
          <w:rFonts w:hint="eastAsia" w:ascii="??" w:hAnsi="??" w:cs="??"/>
          <w:bCs/>
          <w:sz w:val="24"/>
          <w:szCs w:val="22"/>
          <w:lang w:val="en-US" w:eastAsia="zh-CN"/>
        </w:rPr>
        <w:t>2</w:t>
      </w:r>
      <w:r>
        <w:rPr>
          <w:rFonts w:ascii="??" w:hAnsi="??" w:cs="??"/>
          <w:bCs/>
          <w:sz w:val="24"/>
          <w:szCs w:val="22"/>
        </w:rPr>
        <w:t>.</w:t>
      </w:r>
      <w:r>
        <w:rPr>
          <w:rFonts w:hint="eastAsia" w:ascii="宋体" w:hAnsi="宋体" w:eastAsia="宋体" w:cs="宋体"/>
          <w:bCs/>
          <w:sz w:val="24"/>
          <w:szCs w:val="22"/>
        </w:rPr>
        <w:t>付款方法和条件：</w:t>
      </w:r>
      <w:r>
        <w:rPr>
          <w:rFonts w:hint="eastAsia" w:ascii="宋体" w:hAnsi="宋体" w:eastAsia="宋体" w:cs="宋体"/>
          <w:bCs/>
          <w:sz w:val="24"/>
          <w:szCs w:val="22"/>
          <w:lang w:val="en-US" w:eastAsia="zh-CN"/>
        </w:rPr>
        <w:t>安装</w:t>
      </w:r>
      <w:r>
        <w:rPr>
          <w:rFonts w:hint="eastAsia" w:ascii="宋体" w:hAnsi="宋体" w:eastAsia="宋体" w:cs="宋体"/>
          <w:bCs/>
          <w:sz w:val="24"/>
          <w:szCs w:val="22"/>
        </w:rPr>
        <w:t>完成后，由</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提供</w:t>
      </w:r>
      <w:r>
        <w:rPr>
          <w:rFonts w:hint="eastAsia" w:ascii="宋体" w:hAnsi="宋体" w:eastAsia="宋体" w:cs="宋体"/>
          <w:bCs/>
          <w:sz w:val="24"/>
          <w:szCs w:val="22"/>
          <w:lang w:val="en-US" w:eastAsia="zh-CN"/>
        </w:rPr>
        <w:t>安装</w:t>
      </w:r>
      <w:r>
        <w:rPr>
          <w:rFonts w:hint="eastAsia" w:ascii="宋体" w:hAnsi="宋体" w:eastAsia="宋体" w:cs="宋体"/>
          <w:bCs/>
          <w:sz w:val="24"/>
          <w:szCs w:val="22"/>
        </w:rPr>
        <w:t>项目及费用清单，经</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审查无误后</w:t>
      </w:r>
      <w:r>
        <w:rPr>
          <w:rFonts w:hint="eastAsia" w:ascii="宋体" w:hAnsi="宋体" w:eastAsia="宋体" w:cs="宋体"/>
          <w:bCs/>
          <w:sz w:val="24"/>
          <w:szCs w:val="22"/>
          <w:lang w:eastAsia="zh-CN"/>
        </w:rPr>
        <w:t>，</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需向</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提供正式纳税发票</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将款</w:t>
      </w:r>
      <w:r>
        <w:rPr>
          <w:rFonts w:hint="eastAsia" w:ascii="宋体" w:hAnsi="宋体" w:eastAsia="宋体" w:cs="宋体"/>
          <w:bCs/>
          <w:sz w:val="24"/>
          <w:szCs w:val="22"/>
          <w:lang w:val="en-US" w:eastAsia="zh-CN"/>
        </w:rPr>
        <w:t>项据实</w:t>
      </w:r>
      <w:r>
        <w:rPr>
          <w:rFonts w:hint="eastAsia" w:ascii="宋体" w:hAnsi="宋体" w:eastAsia="宋体" w:cs="宋体"/>
          <w:bCs/>
          <w:sz w:val="24"/>
          <w:szCs w:val="22"/>
        </w:rPr>
        <w:t>支付给</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lang w:eastAsia="zh-CN"/>
        </w:rPr>
        <w:t>，</w:t>
      </w:r>
      <w:r>
        <w:rPr>
          <w:rFonts w:hint="eastAsia" w:ascii="宋体" w:hAnsi="宋体" w:eastAsia="宋体" w:cs="宋体"/>
          <w:bCs/>
          <w:sz w:val="24"/>
          <w:szCs w:val="22"/>
        </w:rPr>
        <w:t>结算时间可按每</w:t>
      </w:r>
      <w:r>
        <w:rPr>
          <w:rFonts w:hint="eastAsia" w:ascii="宋体" w:hAnsi="宋体" w:eastAsia="宋体" w:cs="宋体"/>
          <w:bCs/>
          <w:sz w:val="24"/>
          <w:szCs w:val="22"/>
          <w:lang w:val="en-US" w:eastAsia="zh-CN"/>
        </w:rPr>
        <w:t>月据实结算</w:t>
      </w:r>
      <w:r>
        <w:rPr>
          <w:rFonts w:hint="eastAsia" w:ascii="宋体" w:hAnsi="宋体" w:eastAsia="宋体" w:cs="宋体"/>
          <w:bCs/>
          <w:sz w:val="24"/>
          <w:szCs w:val="22"/>
        </w:rPr>
        <w:t>。</w:t>
      </w:r>
    </w:p>
    <w:p w14:paraId="3EC3494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安装调试：成交供应商负责</w:t>
      </w:r>
      <w:r>
        <w:rPr>
          <w:rFonts w:hint="eastAsia" w:ascii="宋体" w:hAnsi="宋体" w:eastAsia="宋体" w:cs="宋体"/>
          <w:sz w:val="24"/>
          <w:szCs w:val="24"/>
          <w:lang w:eastAsia="zh-CN"/>
        </w:rPr>
        <w:t>货物的运输、</w:t>
      </w:r>
      <w:r>
        <w:rPr>
          <w:rFonts w:hint="eastAsia" w:ascii="宋体" w:hAnsi="宋体" w:eastAsia="宋体" w:cs="宋体"/>
          <w:sz w:val="24"/>
          <w:szCs w:val="24"/>
        </w:rPr>
        <w:t>安装、调试</w:t>
      </w:r>
      <w:r>
        <w:rPr>
          <w:rFonts w:hint="eastAsia" w:ascii="宋体" w:hAnsi="宋体" w:eastAsia="宋体" w:cs="宋体"/>
          <w:sz w:val="24"/>
          <w:szCs w:val="24"/>
          <w:lang w:eastAsia="zh-CN"/>
        </w:rPr>
        <w:t>。</w:t>
      </w:r>
      <w:r>
        <w:rPr>
          <w:rFonts w:hint="eastAsia" w:ascii="宋体" w:hAnsi="宋体" w:eastAsia="宋体" w:cs="宋体"/>
          <w:sz w:val="24"/>
          <w:szCs w:val="24"/>
        </w:rPr>
        <w:t>货物到达现场后，成交供应商组织安装、调试</w:t>
      </w:r>
      <w:r>
        <w:rPr>
          <w:rFonts w:hint="eastAsia" w:ascii="宋体" w:hAnsi="宋体" w:eastAsia="宋体" w:cs="宋体"/>
          <w:sz w:val="24"/>
          <w:szCs w:val="24"/>
          <w:lang w:eastAsia="zh-CN"/>
        </w:rPr>
        <w:t>，</w:t>
      </w:r>
      <w:r>
        <w:rPr>
          <w:rFonts w:hint="eastAsia" w:ascii="宋体" w:hAnsi="宋体" w:eastAsia="宋体" w:cs="宋体"/>
          <w:sz w:val="24"/>
          <w:szCs w:val="24"/>
        </w:rPr>
        <w:t>所需的费用包括在总价格中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含税费</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运输及安装</w:t>
      </w:r>
      <w:r>
        <w:rPr>
          <w:rFonts w:hint="eastAsia" w:ascii="宋体" w:hAnsi="宋体" w:eastAsia="宋体" w:cs="宋体"/>
          <w:sz w:val="24"/>
          <w:szCs w:val="24"/>
        </w:rPr>
        <w:t>过程中发生任何人员伤亡或财产损失，均由成交供应商负责解决并自行承担全部责任</w:t>
      </w:r>
      <w:r>
        <w:rPr>
          <w:rFonts w:hint="eastAsia" w:ascii="宋体" w:hAnsi="宋体" w:eastAsia="宋体" w:cs="宋体"/>
          <w:sz w:val="24"/>
          <w:szCs w:val="24"/>
          <w:lang w:eastAsia="zh-CN"/>
        </w:rPr>
        <w:t>，</w:t>
      </w:r>
      <w:r>
        <w:rPr>
          <w:rFonts w:hint="eastAsia" w:ascii="宋体" w:hAnsi="宋体" w:eastAsia="宋体" w:cs="宋体"/>
          <w:sz w:val="24"/>
          <w:szCs w:val="24"/>
        </w:rPr>
        <w:t>与采购人无关。</w:t>
      </w:r>
    </w:p>
    <w:p w14:paraId="127C055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4.质量保修期：质保期两年，质保期内因产品质量问题</w:t>
      </w:r>
      <w:r>
        <w:rPr>
          <w:rFonts w:hint="eastAsia" w:ascii="宋体" w:hAnsi="宋体" w:eastAsia="宋体" w:cs="宋体"/>
          <w:sz w:val="24"/>
          <w:szCs w:val="24"/>
        </w:rPr>
        <w:t>成交供应商</w:t>
      </w:r>
      <w:r>
        <w:rPr>
          <w:rFonts w:hint="eastAsia" w:ascii="宋体" w:hAnsi="宋体" w:eastAsia="宋体" w:cs="宋体"/>
          <w:sz w:val="24"/>
          <w:szCs w:val="24"/>
          <w:lang w:val="en-US" w:eastAsia="zh-CN"/>
        </w:rPr>
        <w:t>将负责产品使用方面正常质量保证、维修及抢修。</w:t>
      </w:r>
    </w:p>
    <w:p w14:paraId="38CC433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成交供应商</w:t>
      </w:r>
      <w:r>
        <w:rPr>
          <w:rFonts w:hint="eastAsia" w:ascii="宋体" w:hAnsi="宋体" w:eastAsia="宋体" w:cs="宋体"/>
          <w:color w:val="auto"/>
          <w:sz w:val="24"/>
          <w:szCs w:val="24"/>
          <w:lang w:val="en-US" w:eastAsia="zh-CN"/>
        </w:rPr>
        <w:t>应保证提供的货物是全新、未使用过的原装合</w:t>
      </w:r>
      <w:r>
        <w:rPr>
          <w:rFonts w:hint="eastAsia" w:ascii="宋体" w:hAnsi="宋体" w:eastAsia="宋体" w:cs="宋体"/>
          <w:sz w:val="24"/>
          <w:szCs w:val="24"/>
          <w:lang w:val="en-US" w:eastAsia="zh-CN"/>
        </w:rPr>
        <w:t>格正品，并完全符合生产厂家或国家规定的质量、规格和性能的要求。</w:t>
      </w:r>
    </w:p>
    <w:p w14:paraId="3881C693">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七、其他要求</w:t>
      </w:r>
    </w:p>
    <w:p w14:paraId="4828FC1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1、评标过程中出现下列情形之⼀的，评审小组参照政府采购异常低价投标审查程序：</w:t>
      </w:r>
    </w:p>
    <w:p w14:paraId="49F3504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 xml:space="preserve">（1）投标报价低于全部通过符合性审查供应商投标报价平均值 </w:t>
      </w:r>
      <w:r>
        <w:rPr>
          <w:rFonts w:hint="default" w:ascii="宋体" w:hAnsi="宋体" w:eastAsia="宋体" w:cs="宋体"/>
          <w:bCs/>
          <w:color w:val="auto"/>
          <w:sz w:val="24"/>
          <w:szCs w:val="22"/>
          <w:lang w:val="en-US" w:eastAsia="zh-CN"/>
        </w:rPr>
        <w:t xml:space="preserve">65 %的，即投标报价&lt;全部通过符合性审查供应商投标报价平均值× 65 %； </w:t>
      </w:r>
    </w:p>
    <w:p w14:paraId="07F2D8D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（2）</w:t>
      </w:r>
      <w:r>
        <w:rPr>
          <w:rFonts w:hint="default" w:ascii="宋体" w:hAnsi="宋体" w:eastAsia="宋体" w:cs="宋体"/>
          <w:bCs/>
          <w:color w:val="auto"/>
          <w:sz w:val="24"/>
          <w:szCs w:val="22"/>
          <w:lang w:val="en-US" w:eastAsia="zh-CN"/>
        </w:rPr>
        <w:t xml:space="preserve">投标报价低于通过符合性审查的次低报价供应商投标报价 65 %的，即投标报价&lt;通过符合性审查的次低报价供应商投标报价×65 %； </w:t>
      </w:r>
    </w:p>
    <w:p w14:paraId="48B9413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（3）</w:t>
      </w:r>
      <w:r>
        <w:rPr>
          <w:rFonts w:hint="default" w:ascii="宋体" w:hAnsi="宋体" w:eastAsia="宋体" w:cs="宋体"/>
          <w:bCs/>
          <w:color w:val="auto"/>
          <w:sz w:val="24"/>
          <w:szCs w:val="22"/>
          <w:lang w:val="en-US" w:eastAsia="zh-CN"/>
        </w:rPr>
        <w:t>投标报价低于采购项⽬（采购包）最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限价 65 %的，即投标报价&lt;</w:t>
      </w:r>
      <w:r>
        <w:rPr>
          <w:rFonts w:hint="eastAsia" w:ascii="宋体" w:hAnsi="宋体" w:eastAsia="宋体" w:cs="宋体"/>
          <w:bCs/>
          <w:color w:val="auto"/>
          <w:sz w:val="24"/>
          <w:szCs w:val="22"/>
          <w:lang w:val="en-US" w:eastAsia="zh-CN"/>
        </w:rPr>
        <w:t>采购项目</w:t>
      </w:r>
      <w:r>
        <w:rPr>
          <w:rFonts w:hint="default" w:ascii="宋体" w:hAnsi="宋体" w:eastAsia="宋体" w:cs="宋体"/>
          <w:bCs/>
          <w:color w:val="auto"/>
          <w:sz w:val="24"/>
          <w:szCs w:val="22"/>
          <w:lang w:val="en-US" w:eastAsia="zh-CN"/>
        </w:rPr>
        <w:t>（采购包）最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 xml:space="preserve">限价× 65 %； </w:t>
      </w:r>
    </w:p>
    <w:p w14:paraId="398059C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（4）评审小组</w:t>
      </w:r>
      <w:r>
        <w:rPr>
          <w:rFonts w:hint="default" w:ascii="宋体" w:hAnsi="宋体" w:eastAsia="宋体" w:cs="宋体"/>
          <w:bCs/>
          <w:color w:val="auto"/>
          <w:sz w:val="24"/>
          <w:szCs w:val="22"/>
          <w:lang w:val="en-US" w:eastAsia="zh-CN"/>
        </w:rPr>
        <w:t xml:space="preserve">基于专业判断，认为供应商报价过低，有可能影响产品质量或者不能诚信履约的其他情形。 </w:t>
      </w:r>
    </w:p>
    <w:p w14:paraId="66A77F1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启动异常低价投标审查后，属于前述第1项⾄第4项情形的，应当要求相关供应商在评审现场合理的时间内对投标价格作出解释，提供项⽬具体成本测算等与报价合理性相关的书⾯说明及必要的证明材料，包括但不限于原材料成本、</w:t>
      </w:r>
      <w:r>
        <w:rPr>
          <w:rFonts w:hint="eastAsia" w:ascii="宋体" w:hAnsi="宋体" w:eastAsia="宋体" w:cs="宋体"/>
          <w:bCs/>
          <w:color w:val="auto"/>
          <w:sz w:val="24"/>
          <w:szCs w:val="22"/>
          <w:lang w:val="en-US" w:eastAsia="zh-CN"/>
        </w:rPr>
        <w:t>人工成本</w:t>
      </w:r>
      <w:r>
        <w:rPr>
          <w:rFonts w:hint="default" w:ascii="宋体" w:hAnsi="宋体" w:eastAsia="宋体" w:cs="宋体"/>
          <w:bCs/>
          <w:color w:val="auto"/>
          <w:sz w:val="24"/>
          <w:szCs w:val="22"/>
          <w:lang w:val="en-US" w:eastAsia="zh-CN"/>
        </w:rPr>
        <w:t>、制造费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 xml:space="preserve">等，给予相关供应商的合理时间⼀般不少于30分钟。其中，属于第3项情形，供应商已随投标⽂件⼀并提交 相关书⾯说明及必要的证明材料的，在评审现场可不再重复提交。 </w:t>
      </w:r>
    </w:p>
    <w:p w14:paraId="09A4552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会依据专业经验，参考同类</w:t>
      </w:r>
      <w:r>
        <w:rPr>
          <w:rFonts w:hint="eastAsia" w:ascii="宋体" w:hAnsi="宋体" w:eastAsia="宋体" w:cs="宋体"/>
          <w:bCs/>
          <w:color w:val="auto"/>
          <w:sz w:val="24"/>
          <w:szCs w:val="22"/>
          <w:lang w:val="en-US" w:eastAsia="zh-CN"/>
        </w:rPr>
        <w:t>项目</w:t>
      </w:r>
      <w:r>
        <w:rPr>
          <w:rFonts w:hint="default" w:ascii="宋体" w:hAnsi="宋体" w:eastAsia="宋体" w:cs="宋体"/>
          <w:bCs/>
          <w:color w:val="auto"/>
          <w:sz w:val="24"/>
          <w:szCs w:val="22"/>
          <w:lang w:val="en-US" w:eastAsia="zh-CN"/>
        </w:rPr>
        <w:t>中标（成交）价格、类似产品市场价格</w:t>
      </w:r>
      <w:r>
        <w:rPr>
          <w:rFonts w:hint="eastAsia" w:ascii="宋体" w:hAnsi="宋体" w:eastAsia="宋体" w:cs="宋体"/>
          <w:bCs/>
          <w:color w:val="auto"/>
          <w:sz w:val="24"/>
          <w:szCs w:val="22"/>
          <w:lang w:val="en-US" w:eastAsia="zh-CN"/>
        </w:rPr>
        <w:t>水平</w:t>
      </w:r>
      <w:r>
        <w:rPr>
          <w:rFonts w:hint="default" w:ascii="宋体" w:hAnsi="宋体" w:eastAsia="宋体" w:cs="宋体"/>
          <w:bCs/>
          <w:color w:val="auto"/>
          <w:sz w:val="24"/>
          <w:szCs w:val="22"/>
          <w:lang w:val="en-US" w:eastAsia="zh-CN"/>
        </w:rPr>
        <w:t>、</w:t>
      </w:r>
      <w:r>
        <w:rPr>
          <w:rFonts w:hint="eastAsia" w:ascii="宋体" w:hAnsi="宋体" w:eastAsia="宋体" w:cs="宋体"/>
          <w:bCs/>
          <w:color w:val="auto"/>
          <w:sz w:val="24"/>
          <w:szCs w:val="22"/>
          <w:lang w:val="en-US" w:eastAsia="zh-CN"/>
        </w:rPr>
        <w:t>行业人工</w:t>
      </w:r>
      <w:r>
        <w:rPr>
          <w:rFonts w:hint="default" w:ascii="宋体" w:hAnsi="宋体" w:eastAsia="宋体" w:cs="宋体"/>
          <w:bCs/>
          <w:color w:val="auto"/>
          <w:sz w:val="24"/>
          <w:szCs w:val="22"/>
          <w:lang w:val="en-US" w:eastAsia="zh-CN"/>
        </w:rPr>
        <w:t>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标准、国家有关部⻔ 指导</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协会发布的</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平均成本等情况，对报价合理性</w:t>
      </w:r>
      <w:r>
        <w:rPr>
          <w:rFonts w:hint="eastAsia" w:ascii="宋体" w:hAnsi="宋体" w:eastAsia="宋体" w:cs="宋体"/>
          <w:bCs/>
          <w:color w:val="auto"/>
          <w:sz w:val="24"/>
          <w:szCs w:val="22"/>
          <w:lang w:val="en-US" w:eastAsia="zh-CN"/>
        </w:rPr>
        <w:t>进行</w:t>
      </w:r>
      <w:r>
        <w:rPr>
          <w:rFonts w:hint="default" w:ascii="宋体" w:hAnsi="宋体" w:eastAsia="宋体" w:cs="宋体"/>
          <w:bCs/>
          <w:color w:val="auto"/>
          <w:sz w:val="24"/>
          <w:szCs w:val="22"/>
          <w:lang w:val="en-US" w:eastAsia="zh-CN"/>
        </w:rPr>
        <w:t>判断。投标供应商不能提供书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说明、证明材料，或者提供的书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说明、证明材料不能证明其报价合理性的，</w:t>
      </w: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应当将其作为</w:t>
      </w:r>
      <w:r>
        <w:rPr>
          <w:rFonts w:hint="eastAsia" w:ascii="宋体" w:hAnsi="宋体" w:eastAsia="宋体" w:cs="宋体"/>
          <w:bCs/>
          <w:color w:val="auto"/>
          <w:sz w:val="24"/>
          <w:szCs w:val="22"/>
          <w:lang w:val="en-US" w:eastAsia="zh-CN"/>
        </w:rPr>
        <w:t>无</w:t>
      </w:r>
      <w:r>
        <w:rPr>
          <w:rFonts w:hint="default" w:ascii="宋体" w:hAnsi="宋体" w:eastAsia="宋体" w:cs="宋体"/>
          <w:bCs/>
          <w:color w:val="auto"/>
          <w:sz w:val="24"/>
          <w:szCs w:val="22"/>
          <w:lang w:val="en-US" w:eastAsia="zh-CN"/>
        </w:rPr>
        <w:t>效投标处理。</w:t>
      </w:r>
    </w:p>
    <w:p w14:paraId="71D18BA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2、每年考核验收合格后方可续签下一年度服务合同。（考核细则合同约定）</w:t>
      </w:r>
    </w:p>
    <w:p w14:paraId="1FCC3C07">
      <w:pPr>
        <w:rPr>
          <w:rFonts w:hint="eastAsia"/>
          <w:lang w:val="en-US" w:eastAsia="zh-CN"/>
        </w:rPr>
      </w:pPr>
    </w:p>
    <w:p w14:paraId="0DDED95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备注：本章采购文件中标注“★”号的条款为本次采购项目的实质性要求，供应商应全部满足。</w:t>
      </w:r>
    </w:p>
    <w:p w14:paraId="1516947C">
      <w:pPr>
        <w:pStyle w:val="2"/>
        <w:rPr>
          <w:rFonts w:hint="eastAsia" w:ascii="宋体" w:hAnsi="宋体" w:eastAsia="宋体" w:cs="宋体"/>
          <w:sz w:val="24"/>
          <w:szCs w:val="24"/>
          <w:lang w:val="en-US" w:eastAsia="zh-CN"/>
        </w:rPr>
      </w:pPr>
    </w:p>
    <w:p w14:paraId="52507C4C">
      <w:pPr>
        <w:rPr>
          <w:rFonts w:hint="eastAsia"/>
          <w:lang w:val="en-US" w:eastAsia="zh-CN"/>
        </w:rPr>
      </w:pPr>
    </w:p>
    <w:p w14:paraId="6C6546DB">
      <w:pPr>
        <w:pStyle w:val="2"/>
        <w:rPr>
          <w:rFonts w:hint="eastAsia"/>
          <w:lang w:val="en-US" w:eastAsia="zh-CN"/>
        </w:rPr>
      </w:pPr>
    </w:p>
    <w:p w14:paraId="636CAB6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七、评分标准</w:t>
      </w: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1320"/>
        <w:gridCol w:w="1080"/>
        <w:gridCol w:w="6128"/>
      </w:tblGrid>
      <w:tr w14:paraId="57CF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2" w:hRule="atLeast"/>
          <w:jc w:val="center"/>
        </w:trPr>
        <w:tc>
          <w:tcPr>
            <w:tcW w:w="795" w:type="dxa"/>
            <w:noWrap w:val="0"/>
            <w:vAlign w:val="center"/>
          </w:tcPr>
          <w:p w14:paraId="20B2BDD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1320" w:type="dxa"/>
            <w:noWrap w:val="0"/>
            <w:vAlign w:val="center"/>
          </w:tcPr>
          <w:p w14:paraId="3240884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评分因素</w:t>
            </w:r>
          </w:p>
        </w:tc>
        <w:tc>
          <w:tcPr>
            <w:tcW w:w="1080" w:type="dxa"/>
            <w:noWrap w:val="0"/>
            <w:vAlign w:val="center"/>
          </w:tcPr>
          <w:p w14:paraId="035D7FB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6128" w:type="dxa"/>
            <w:noWrap w:val="0"/>
            <w:vAlign w:val="center"/>
          </w:tcPr>
          <w:p w14:paraId="260C330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r>
      <w:tr w14:paraId="01B9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3" w:hRule="atLeast"/>
          <w:jc w:val="center"/>
        </w:trPr>
        <w:tc>
          <w:tcPr>
            <w:tcW w:w="795" w:type="dxa"/>
            <w:noWrap w:val="0"/>
            <w:vAlign w:val="center"/>
          </w:tcPr>
          <w:p w14:paraId="6413A55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320" w:type="dxa"/>
            <w:noWrap w:val="0"/>
            <w:vAlign w:val="center"/>
          </w:tcPr>
          <w:p w14:paraId="75B279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080" w:type="dxa"/>
            <w:noWrap w:val="0"/>
            <w:vAlign w:val="center"/>
          </w:tcPr>
          <w:p w14:paraId="36986D3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30分</w:t>
            </w:r>
          </w:p>
        </w:tc>
        <w:tc>
          <w:tcPr>
            <w:tcW w:w="6128" w:type="dxa"/>
            <w:noWrap w:val="0"/>
            <w:vAlign w:val="center"/>
          </w:tcPr>
          <w:p w14:paraId="36F2474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报价为单价最高限价报统一下浮率。</w:t>
            </w:r>
          </w:p>
          <w:p w14:paraId="705E33C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注：满足招标文件要求且投标价格最低的报价(即统一下浮率最高)为评标基准价，其价格分为满分。其他投标人的价格分统一按照下列公式计算:</w:t>
            </w:r>
          </w:p>
          <w:p w14:paraId="587A69C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投标报价得分=(1-评标基准价)/(1-报价)x30。</w:t>
            </w:r>
          </w:p>
        </w:tc>
      </w:tr>
      <w:tr w14:paraId="7DE1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21" w:hRule="atLeast"/>
          <w:jc w:val="center"/>
        </w:trPr>
        <w:tc>
          <w:tcPr>
            <w:tcW w:w="795" w:type="dxa"/>
            <w:noWrap w:val="0"/>
            <w:vAlign w:val="center"/>
          </w:tcPr>
          <w:p w14:paraId="217F23D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63A7F20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实施方案</w:t>
            </w:r>
          </w:p>
        </w:tc>
        <w:tc>
          <w:tcPr>
            <w:tcW w:w="1080" w:type="dxa"/>
            <w:noWrap w:val="0"/>
            <w:vAlign w:val="center"/>
          </w:tcPr>
          <w:p w14:paraId="51E55F3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30分</w:t>
            </w:r>
          </w:p>
        </w:tc>
        <w:tc>
          <w:tcPr>
            <w:tcW w:w="6128" w:type="dxa"/>
            <w:noWrap w:val="0"/>
            <w:vAlign w:val="center"/>
          </w:tcPr>
          <w:p w14:paraId="308C7C8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供应商根据本项目特点，提供实施方案至少包含：</w:t>
            </w:r>
            <w:r>
              <w:rPr>
                <w:rFonts w:hint="eastAsia" w:ascii="宋体" w:hAnsi="宋体" w:eastAsia="宋体" w:cs="宋体"/>
                <w:color w:val="auto"/>
                <w:kern w:val="0"/>
                <w:sz w:val="24"/>
                <w:szCs w:val="24"/>
                <w:lang w:val="en-US" w:eastAsia="zh-Hans"/>
              </w:rPr>
              <w:t>①备货方案；②服务流程；③产品质量保证措施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④安装措施；⑤安装人员的配置及职责分工；⑥安装调试的计划流程。</w:t>
            </w:r>
            <w:r>
              <w:rPr>
                <w:rFonts w:hint="eastAsia" w:ascii="宋体" w:hAnsi="宋体" w:eastAsia="宋体" w:cs="宋体"/>
                <w:color w:val="auto"/>
                <w:kern w:val="0"/>
                <w:sz w:val="24"/>
                <w:szCs w:val="24"/>
                <w:lang w:val="en-US" w:eastAsia="zh-CN"/>
              </w:rPr>
              <w:t>每具有一项得5分，最多得30分。</w:t>
            </w:r>
          </w:p>
          <w:p w14:paraId="1053DD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中存在缺陷或漏洞（缺陷或漏洞是指：分析内容描述不清晰；凭空编造；阐述存在逻辑错误；涉及内容无重点，不能体现出本项目的特点；语言错误或存在歧义；与本项目实际需求不相符等)的，每有一处扣2.5分，直至本项扣完为止。</w:t>
            </w:r>
          </w:p>
        </w:tc>
      </w:tr>
      <w:tr w14:paraId="5E6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78" w:hRule="atLeast"/>
          <w:jc w:val="center"/>
        </w:trPr>
        <w:tc>
          <w:tcPr>
            <w:tcW w:w="795" w:type="dxa"/>
            <w:noWrap w:val="0"/>
            <w:vAlign w:val="center"/>
          </w:tcPr>
          <w:p w14:paraId="3809AC9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20" w:type="dxa"/>
            <w:noWrap w:val="0"/>
            <w:vAlign w:val="center"/>
          </w:tcPr>
          <w:p w14:paraId="3E172D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售后服务</w:t>
            </w:r>
          </w:p>
        </w:tc>
        <w:tc>
          <w:tcPr>
            <w:tcW w:w="1080" w:type="dxa"/>
            <w:noWrap w:val="0"/>
            <w:vAlign w:val="center"/>
          </w:tcPr>
          <w:p w14:paraId="34BA9A5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20分</w:t>
            </w:r>
          </w:p>
        </w:tc>
        <w:tc>
          <w:tcPr>
            <w:tcW w:w="6128" w:type="dxa"/>
            <w:noWrap w:val="0"/>
            <w:vAlign w:val="center"/>
          </w:tcPr>
          <w:p w14:paraId="0912595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供应商需为本项目提供售后服务方案，方案包括：①售后服务人员配备及职责分工；②售后服务质量保障措施；③售后服务范围；④备品备件方案。</w:t>
            </w:r>
            <w:r>
              <w:rPr>
                <w:rFonts w:hint="eastAsia" w:ascii="宋体" w:hAnsi="宋体" w:eastAsia="宋体" w:cs="宋体"/>
                <w:color w:val="auto"/>
                <w:kern w:val="0"/>
                <w:sz w:val="24"/>
                <w:szCs w:val="24"/>
                <w:lang w:val="en-US" w:eastAsia="zh-CN"/>
              </w:rPr>
              <w:t>每具有一项得5分，最多得20分。</w:t>
            </w:r>
          </w:p>
          <w:p w14:paraId="3ADF11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方案合理，针对性强，逻辑条理清晰、内容详尽、完全满足项目要求的得20分，每有1项缺项扣5分，每有一项内容不详尽、内容粗略、对本项目针对性不强、方案有逻辑性问题的扣2.5分，直至本项扣完为止。</w:t>
            </w:r>
          </w:p>
        </w:tc>
      </w:tr>
      <w:tr w14:paraId="5544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9" w:hRule="atLeast"/>
          <w:jc w:val="center"/>
        </w:trPr>
        <w:tc>
          <w:tcPr>
            <w:tcW w:w="795" w:type="dxa"/>
            <w:noWrap w:val="0"/>
            <w:vAlign w:val="center"/>
          </w:tcPr>
          <w:p w14:paraId="7CCCEF1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320" w:type="dxa"/>
            <w:noWrap w:val="0"/>
            <w:vAlign w:val="center"/>
          </w:tcPr>
          <w:p w14:paraId="2938416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履约能力</w:t>
            </w:r>
          </w:p>
        </w:tc>
        <w:tc>
          <w:tcPr>
            <w:tcW w:w="1080" w:type="dxa"/>
            <w:noWrap w:val="0"/>
            <w:vAlign w:val="center"/>
          </w:tcPr>
          <w:p w14:paraId="025809F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3E38476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投标人提供的2023年1月至今类似业绩，每提供一个业绩证明得 2分，最高得10分。</w:t>
            </w:r>
          </w:p>
          <w:p w14:paraId="077438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注：提供合同扫描件（加盖投标人公章）。</w:t>
            </w:r>
          </w:p>
        </w:tc>
      </w:tr>
      <w:tr w14:paraId="3CE1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9" w:hRule="atLeast"/>
          <w:jc w:val="center"/>
        </w:trPr>
        <w:tc>
          <w:tcPr>
            <w:tcW w:w="795" w:type="dxa"/>
            <w:noWrap w:val="0"/>
            <w:vAlign w:val="center"/>
          </w:tcPr>
          <w:p w14:paraId="721AFE4B">
            <w:pPr>
              <w:widowControl/>
              <w:snapToGrid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5</w:t>
            </w:r>
          </w:p>
        </w:tc>
        <w:tc>
          <w:tcPr>
            <w:tcW w:w="1320" w:type="dxa"/>
            <w:noWrap w:val="0"/>
            <w:vAlign w:val="center"/>
          </w:tcPr>
          <w:p w14:paraId="1C2B0E0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服务响应时间</w:t>
            </w:r>
          </w:p>
        </w:tc>
        <w:tc>
          <w:tcPr>
            <w:tcW w:w="1080" w:type="dxa"/>
            <w:noWrap w:val="0"/>
            <w:vAlign w:val="center"/>
          </w:tcPr>
          <w:p w14:paraId="234DAEA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3A76DF8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遇紧急情况需现场响应，以接到院方电话至现场处理所需的时间计。（提供服务承诺函）</w:t>
            </w:r>
          </w:p>
          <w:p w14:paraId="3605A56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①服务响应时间≤30分钟得10分，②服务响应时间&gt;30分钟，≤1小时得7分，③服务响应时间&gt;1小时，≤2小时得5分， ④服务响应时间&gt;2小时不得分。</w:t>
            </w:r>
          </w:p>
        </w:tc>
      </w:tr>
    </w:tbl>
    <w:p w14:paraId="07A7E5A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75C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B94D9">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B6B94D9">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A39F7"/>
    <w:rsid w:val="00810F5E"/>
    <w:rsid w:val="008470DB"/>
    <w:rsid w:val="008B7726"/>
    <w:rsid w:val="009368AC"/>
    <w:rsid w:val="00D31D50"/>
    <w:rsid w:val="00DC5781"/>
    <w:rsid w:val="021516A5"/>
    <w:rsid w:val="03557B41"/>
    <w:rsid w:val="0417329C"/>
    <w:rsid w:val="04945734"/>
    <w:rsid w:val="056D6E47"/>
    <w:rsid w:val="06786A3E"/>
    <w:rsid w:val="06BD65DA"/>
    <w:rsid w:val="079B60C5"/>
    <w:rsid w:val="07C14663"/>
    <w:rsid w:val="080A4C11"/>
    <w:rsid w:val="08955CC7"/>
    <w:rsid w:val="08A4624A"/>
    <w:rsid w:val="08B122D5"/>
    <w:rsid w:val="0901048B"/>
    <w:rsid w:val="090D23FF"/>
    <w:rsid w:val="092956CE"/>
    <w:rsid w:val="092A4F3A"/>
    <w:rsid w:val="09530849"/>
    <w:rsid w:val="09AE62F4"/>
    <w:rsid w:val="0A2E7329"/>
    <w:rsid w:val="0A621C82"/>
    <w:rsid w:val="0A6F3FD3"/>
    <w:rsid w:val="0AB25CAB"/>
    <w:rsid w:val="0B8C2409"/>
    <w:rsid w:val="0B90462A"/>
    <w:rsid w:val="0B93058C"/>
    <w:rsid w:val="0BA039D5"/>
    <w:rsid w:val="0CDF4B5B"/>
    <w:rsid w:val="0D547C85"/>
    <w:rsid w:val="0D7F34E3"/>
    <w:rsid w:val="0DBB7AE7"/>
    <w:rsid w:val="0DD71875"/>
    <w:rsid w:val="0E5F4E01"/>
    <w:rsid w:val="0EE631E2"/>
    <w:rsid w:val="0F8B73C0"/>
    <w:rsid w:val="0FD75850"/>
    <w:rsid w:val="10261BDE"/>
    <w:rsid w:val="107E269F"/>
    <w:rsid w:val="1090591F"/>
    <w:rsid w:val="10CB1583"/>
    <w:rsid w:val="10F0650D"/>
    <w:rsid w:val="11453C83"/>
    <w:rsid w:val="11EF349A"/>
    <w:rsid w:val="123002D8"/>
    <w:rsid w:val="12684E77"/>
    <w:rsid w:val="12A70BC3"/>
    <w:rsid w:val="12FD0B67"/>
    <w:rsid w:val="130D7106"/>
    <w:rsid w:val="13550A5B"/>
    <w:rsid w:val="14C21806"/>
    <w:rsid w:val="1567498B"/>
    <w:rsid w:val="15872005"/>
    <w:rsid w:val="15A227A2"/>
    <w:rsid w:val="15E6145E"/>
    <w:rsid w:val="160C5ED0"/>
    <w:rsid w:val="1665032B"/>
    <w:rsid w:val="173A441D"/>
    <w:rsid w:val="190A7A32"/>
    <w:rsid w:val="19E347EF"/>
    <w:rsid w:val="19E97045"/>
    <w:rsid w:val="19F3629F"/>
    <w:rsid w:val="1A583AE3"/>
    <w:rsid w:val="1BB856C7"/>
    <w:rsid w:val="1BBD260B"/>
    <w:rsid w:val="1BF558A3"/>
    <w:rsid w:val="1C6F051E"/>
    <w:rsid w:val="1D7718CE"/>
    <w:rsid w:val="1EA9743F"/>
    <w:rsid w:val="1EE57977"/>
    <w:rsid w:val="1F5A2C28"/>
    <w:rsid w:val="1FA26413"/>
    <w:rsid w:val="1FDC56A6"/>
    <w:rsid w:val="212B77D5"/>
    <w:rsid w:val="219A3DC7"/>
    <w:rsid w:val="21AB0984"/>
    <w:rsid w:val="22270513"/>
    <w:rsid w:val="22335E5D"/>
    <w:rsid w:val="225F5A5E"/>
    <w:rsid w:val="22C3542A"/>
    <w:rsid w:val="22E916AC"/>
    <w:rsid w:val="242E418A"/>
    <w:rsid w:val="24F20082"/>
    <w:rsid w:val="25714C8B"/>
    <w:rsid w:val="2630111A"/>
    <w:rsid w:val="263E7561"/>
    <w:rsid w:val="265867F4"/>
    <w:rsid w:val="26A2676C"/>
    <w:rsid w:val="2712692B"/>
    <w:rsid w:val="273C4DA6"/>
    <w:rsid w:val="280E60D5"/>
    <w:rsid w:val="28452984"/>
    <w:rsid w:val="28783286"/>
    <w:rsid w:val="289C4569"/>
    <w:rsid w:val="28C332B8"/>
    <w:rsid w:val="2BBA320E"/>
    <w:rsid w:val="2BCE573E"/>
    <w:rsid w:val="2C410023"/>
    <w:rsid w:val="2CB85548"/>
    <w:rsid w:val="2D0F5755"/>
    <w:rsid w:val="2D5E6308"/>
    <w:rsid w:val="2DDC6980"/>
    <w:rsid w:val="2E1364F0"/>
    <w:rsid w:val="2E351C66"/>
    <w:rsid w:val="2F0B55F7"/>
    <w:rsid w:val="2F0E2C00"/>
    <w:rsid w:val="2F3B6D5A"/>
    <w:rsid w:val="2F6947E2"/>
    <w:rsid w:val="2F847CA8"/>
    <w:rsid w:val="2FB3176C"/>
    <w:rsid w:val="2FE41812"/>
    <w:rsid w:val="311364BA"/>
    <w:rsid w:val="31190FA9"/>
    <w:rsid w:val="313501CA"/>
    <w:rsid w:val="31AB554A"/>
    <w:rsid w:val="321662B1"/>
    <w:rsid w:val="32C9341A"/>
    <w:rsid w:val="333211B8"/>
    <w:rsid w:val="33AA4745"/>
    <w:rsid w:val="34F74E35"/>
    <w:rsid w:val="35654540"/>
    <w:rsid w:val="35955A82"/>
    <w:rsid w:val="36616728"/>
    <w:rsid w:val="36742041"/>
    <w:rsid w:val="368643CC"/>
    <w:rsid w:val="373E11A0"/>
    <w:rsid w:val="377E67E5"/>
    <w:rsid w:val="37A22840"/>
    <w:rsid w:val="37CD610A"/>
    <w:rsid w:val="38645721"/>
    <w:rsid w:val="388451E2"/>
    <w:rsid w:val="389C4706"/>
    <w:rsid w:val="38C17FE3"/>
    <w:rsid w:val="38F401FF"/>
    <w:rsid w:val="396E4F55"/>
    <w:rsid w:val="398038C3"/>
    <w:rsid w:val="399E78AC"/>
    <w:rsid w:val="39A17949"/>
    <w:rsid w:val="3A2931B0"/>
    <w:rsid w:val="3AA25A1F"/>
    <w:rsid w:val="3ACD2F84"/>
    <w:rsid w:val="3AE7182B"/>
    <w:rsid w:val="3AFE0BC3"/>
    <w:rsid w:val="3B3D76DD"/>
    <w:rsid w:val="3BC45328"/>
    <w:rsid w:val="3BE54EA1"/>
    <w:rsid w:val="3BF8293A"/>
    <w:rsid w:val="3DA03702"/>
    <w:rsid w:val="3E277B0B"/>
    <w:rsid w:val="3E595263"/>
    <w:rsid w:val="3E6E069F"/>
    <w:rsid w:val="3E8C2A3B"/>
    <w:rsid w:val="3F274A8A"/>
    <w:rsid w:val="3F5C0FD3"/>
    <w:rsid w:val="40B9121F"/>
    <w:rsid w:val="42B07649"/>
    <w:rsid w:val="433D1D1E"/>
    <w:rsid w:val="442554C0"/>
    <w:rsid w:val="44A77C8A"/>
    <w:rsid w:val="45C24F72"/>
    <w:rsid w:val="45DF556B"/>
    <w:rsid w:val="46AE261E"/>
    <w:rsid w:val="47900BCC"/>
    <w:rsid w:val="481734F9"/>
    <w:rsid w:val="486328DC"/>
    <w:rsid w:val="490B5C70"/>
    <w:rsid w:val="4925522C"/>
    <w:rsid w:val="49591AD0"/>
    <w:rsid w:val="4A1F0985"/>
    <w:rsid w:val="4A650358"/>
    <w:rsid w:val="4AF43C89"/>
    <w:rsid w:val="4B2E539F"/>
    <w:rsid w:val="4B7E7190"/>
    <w:rsid w:val="4B8436AC"/>
    <w:rsid w:val="4B9425F5"/>
    <w:rsid w:val="4BA335AF"/>
    <w:rsid w:val="4BEB58D7"/>
    <w:rsid w:val="4C0809AB"/>
    <w:rsid w:val="4CFD3FE3"/>
    <w:rsid w:val="4D1C410B"/>
    <w:rsid w:val="4D354244"/>
    <w:rsid w:val="4EAA7AD3"/>
    <w:rsid w:val="4EC56BAF"/>
    <w:rsid w:val="4EEC269E"/>
    <w:rsid w:val="4F0056F6"/>
    <w:rsid w:val="4F345D0C"/>
    <w:rsid w:val="506C74D1"/>
    <w:rsid w:val="50D4117E"/>
    <w:rsid w:val="51043EC0"/>
    <w:rsid w:val="51216EEC"/>
    <w:rsid w:val="512331A2"/>
    <w:rsid w:val="513554D1"/>
    <w:rsid w:val="513C5E30"/>
    <w:rsid w:val="5155754D"/>
    <w:rsid w:val="5271399A"/>
    <w:rsid w:val="528B6069"/>
    <w:rsid w:val="52DF7207"/>
    <w:rsid w:val="537A378B"/>
    <w:rsid w:val="53A95A46"/>
    <w:rsid w:val="53AC12DB"/>
    <w:rsid w:val="541371A6"/>
    <w:rsid w:val="544C29A3"/>
    <w:rsid w:val="55375941"/>
    <w:rsid w:val="559A2AA4"/>
    <w:rsid w:val="55E96352"/>
    <w:rsid w:val="566937B9"/>
    <w:rsid w:val="576D52B4"/>
    <w:rsid w:val="57C524CD"/>
    <w:rsid w:val="582D12ED"/>
    <w:rsid w:val="59956DB7"/>
    <w:rsid w:val="59C65A1B"/>
    <w:rsid w:val="5A8C3B8F"/>
    <w:rsid w:val="5B7C273E"/>
    <w:rsid w:val="5CAE5EDF"/>
    <w:rsid w:val="5CB63EB6"/>
    <w:rsid w:val="5CF722FD"/>
    <w:rsid w:val="5D6A14CE"/>
    <w:rsid w:val="5DBD5D29"/>
    <w:rsid w:val="5DBF2A2A"/>
    <w:rsid w:val="5DE44CF5"/>
    <w:rsid w:val="5E791C95"/>
    <w:rsid w:val="5EA3221D"/>
    <w:rsid w:val="5EA66F97"/>
    <w:rsid w:val="5ECD70DE"/>
    <w:rsid w:val="5F98766C"/>
    <w:rsid w:val="610138D7"/>
    <w:rsid w:val="61032959"/>
    <w:rsid w:val="61271B65"/>
    <w:rsid w:val="613F7485"/>
    <w:rsid w:val="620F05C1"/>
    <w:rsid w:val="623F5FB6"/>
    <w:rsid w:val="62BC7372"/>
    <w:rsid w:val="62CA77CE"/>
    <w:rsid w:val="6326497F"/>
    <w:rsid w:val="634C27BB"/>
    <w:rsid w:val="639A6186"/>
    <w:rsid w:val="63FB264E"/>
    <w:rsid w:val="64E73AB9"/>
    <w:rsid w:val="64F4112F"/>
    <w:rsid w:val="65462941"/>
    <w:rsid w:val="65AB07A2"/>
    <w:rsid w:val="668E728D"/>
    <w:rsid w:val="66CC2299"/>
    <w:rsid w:val="66FF40B7"/>
    <w:rsid w:val="67CC1E24"/>
    <w:rsid w:val="67E72AB0"/>
    <w:rsid w:val="68155795"/>
    <w:rsid w:val="682567EB"/>
    <w:rsid w:val="69DF2131"/>
    <w:rsid w:val="6A154812"/>
    <w:rsid w:val="6B7B482E"/>
    <w:rsid w:val="6BF77602"/>
    <w:rsid w:val="6C564D84"/>
    <w:rsid w:val="6CD31485"/>
    <w:rsid w:val="6D431A70"/>
    <w:rsid w:val="6D655BCB"/>
    <w:rsid w:val="6D856832"/>
    <w:rsid w:val="6D8B7DF4"/>
    <w:rsid w:val="6DB62387"/>
    <w:rsid w:val="6E2455A9"/>
    <w:rsid w:val="6ECD4AB5"/>
    <w:rsid w:val="6FB00FAA"/>
    <w:rsid w:val="6FFD50BD"/>
    <w:rsid w:val="70336FAC"/>
    <w:rsid w:val="70627E2F"/>
    <w:rsid w:val="70D20B5B"/>
    <w:rsid w:val="71906080"/>
    <w:rsid w:val="72A75115"/>
    <w:rsid w:val="72E74E88"/>
    <w:rsid w:val="73722A02"/>
    <w:rsid w:val="73D9354B"/>
    <w:rsid w:val="74321829"/>
    <w:rsid w:val="747334C7"/>
    <w:rsid w:val="75594A37"/>
    <w:rsid w:val="75A27392"/>
    <w:rsid w:val="75BD2C10"/>
    <w:rsid w:val="761128FF"/>
    <w:rsid w:val="76B946BB"/>
    <w:rsid w:val="76EE1771"/>
    <w:rsid w:val="77A56E63"/>
    <w:rsid w:val="77D9515B"/>
    <w:rsid w:val="78253E58"/>
    <w:rsid w:val="790441FA"/>
    <w:rsid w:val="79A612CD"/>
    <w:rsid w:val="79EC3D30"/>
    <w:rsid w:val="7A440E3A"/>
    <w:rsid w:val="7AA43AB3"/>
    <w:rsid w:val="7AB435A5"/>
    <w:rsid w:val="7C083390"/>
    <w:rsid w:val="7CA12416"/>
    <w:rsid w:val="7DE83159"/>
    <w:rsid w:val="7E46423F"/>
    <w:rsid w:val="7E7D69CA"/>
    <w:rsid w:val="7E972C2F"/>
    <w:rsid w:val="7E9E4F9D"/>
    <w:rsid w:val="7EA93DDB"/>
    <w:rsid w:val="7EF53C16"/>
    <w:rsid w:val="7FA761FA"/>
    <w:rsid w:val="7FF6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sz w:val="16"/>
      <w:szCs w:val="16"/>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2460</Words>
  <Characters>2609</Characters>
  <Lines>1</Lines>
  <Paragraphs>1</Paragraphs>
  <TotalTime>18</TotalTime>
  <ScaleCrop>false</ScaleCrop>
  <LinksUpToDate>false</LinksUpToDate>
  <CharactersWithSpaces>2630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WPS_911694258</cp:lastModifiedBy>
  <dcterms:modified xsi:type="dcterms:W3CDTF">2026-04-21T00:52:56Z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7CA450475BF046279106844FEA119DDB_13</vt:lpwstr>
  </property>
</Properties>
</file>