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27FFC">
      <w:pPr>
        <w:jc w:val="center"/>
        <w:rPr>
          <w:rFonts w:hint="eastAsia" w:ascii="方正小标宋简体" w:hAnsi="方正小标宋简体" w:eastAsia="方正小标宋简体" w:cs="方正小标宋简体"/>
          <w:b/>
          <w:sz w:val="36"/>
          <w:szCs w:val="36"/>
          <w:lang w:val="en-US" w:eastAsia="zh-CN"/>
        </w:rPr>
      </w:pPr>
      <w:bookmarkStart w:id="2" w:name="_GoBack"/>
      <w:r>
        <w:rPr>
          <w:rFonts w:hint="eastAsia" w:ascii="方正小标宋简体" w:hAnsi="方正小标宋简体" w:eastAsia="方正小标宋简体" w:cs="方正小标宋简体"/>
          <w:b/>
          <w:sz w:val="36"/>
          <w:szCs w:val="36"/>
          <w:lang w:val="en-US" w:eastAsia="zh-CN"/>
        </w:rPr>
        <w:t>大邑县人民医院</w:t>
      </w:r>
    </w:p>
    <w:p w14:paraId="0D943F47">
      <w:pPr>
        <w:jc w:val="center"/>
        <w:rPr>
          <w:rFonts w:hint="default"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监控系统零星维修服务</w:t>
      </w:r>
      <w:r>
        <w:rPr>
          <w:rFonts w:hint="eastAsia" w:ascii="方正小标宋简体" w:hAnsi="方正小标宋简体" w:eastAsia="方正小标宋简体" w:cs="方正小标宋简体"/>
          <w:b/>
          <w:sz w:val="36"/>
          <w:szCs w:val="36"/>
          <w:lang w:val="en-US" w:eastAsia="zh-CN"/>
        </w:rPr>
        <w:t>采购</w:t>
      </w:r>
      <w:r>
        <w:rPr>
          <w:rFonts w:hint="eastAsia" w:ascii="方正小标宋简体" w:hAnsi="方正小标宋简体" w:eastAsia="方正小标宋简体" w:cs="方正小标宋简体"/>
          <w:b/>
          <w:sz w:val="36"/>
          <w:szCs w:val="36"/>
        </w:rPr>
        <w:t>项目</w:t>
      </w:r>
      <w:r>
        <w:rPr>
          <w:rFonts w:hint="eastAsia" w:ascii="方正小标宋简体" w:hAnsi="方正小标宋简体" w:eastAsia="方正小标宋简体" w:cs="方正小标宋简体"/>
          <w:b/>
          <w:sz w:val="36"/>
          <w:szCs w:val="36"/>
          <w:lang w:val="en-US" w:eastAsia="zh-CN"/>
        </w:rPr>
        <w:t>比选文件</w:t>
      </w:r>
    </w:p>
    <w:bookmarkEnd w:id="2"/>
    <w:p w14:paraId="291B2306">
      <w:pPr>
        <w:widowControl/>
        <w:numPr>
          <w:ilvl w:val="0"/>
          <w:numId w:val="0"/>
        </w:numPr>
        <w:spacing w:line="560" w:lineRule="exact"/>
        <w:ind w:firstLine="280" w:firstLineChars="100"/>
        <w:jc w:val="left"/>
        <w:rPr>
          <w:rFonts w:hint="eastAsia" w:ascii="楷体_GB2312" w:hAnsi="楷体_GB2312" w:eastAsia="楷体_GB2312" w:cs="楷体_GB2312"/>
          <w:bCs/>
          <w:sz w:val="28"/>
          <w:szCs w:val="28"/>
          <w:lang w:val="en-US" w:eastAsia="zh-CN"/>
        </w:rPr>
      </w:pPr>
    </w:p>
    <w:p w14:paraId="3D5528B3">
      <w:pPr>
        <w:widowControl/>
        <w:numPr>
          <w:ilvl w:val="0"/>
          <w:numId w:val="0"/>
        </w:numPr>
        <w:spacing w:line="360" w:lineRule="auto"/>
        <w:ind w:firstLine="240" w:firstLineChars="100"/>
        <w:jc w:val="left"/>
        <w:rPr>
          <w:rFonts w:hint="eastAsia" w:ascii="仿宋_GB2312" w:hAnsi="仿宋_GB2312" w:eastAsia="仿宋_GB2312" w:cs="仿宋_GB2312"/>
          <w:bCs/>
          <w:sz w:val="24"/>
          <w:szCs w:val="24"/>
          <w:lang w:val="en-US" w:eastAsia="zh-CN"/>
        </w:rPr>
      </w:pPr>
      <w:r>
        <w:rPr>
          <w:rFonts w:hint="eastAsia" w:ascii="楷体_GB2312" w:hAnsi="楷体_GB2312" w:eastAsia="楷体_GB2312" w:cs="楷体_GB2312"/>
          <w:b/>
          <w:bCs w:val="0"/>
          <w:sz w:val="24"/>
          <w:szCs w:val="24"/>
          <w:lang w:val="en-US" w:eastAsia="zh-CN"/>
        </w:rPr>
        <w:t>一、项目名称：</w:t>
      </w:r>
      <w:r>
        <w:rPr>
          <w:rFonts w:hint="eastAsia" w:ascii="仿宋_GB2312" w:hAnsi="仿宋_GB2312" w:eastAsia="仿宋_GB2312" w:cs="仿宋_GB2312"/>
          <w:bCs/>
          <w:sz w:val="24"/>
          <w:szCs w:val="24"/>
          <w:lang w:val="en-US" w:eastAsia="zh-CN"/>
        </w:rPr>
        <w:t>大邑县人民医院</w:t>
      </w:r>
      <w:r>
        <w:rPr>
          <w:rFonts w:hint="eastAsia" w:ascii="仿宋_GB2312" w:hAnsi="仿宋_GB2312" w:eastAsia="仿宋_GB2312" w:cs="仿宋_GB2312"/>
          <w:b w:val="0"/>
          <w:bCs w:val="0"/>
          <w:i w:val="0"/>
          <w:color w:val="000000"/>
          <w:kern w:val="0"/>
          <w:sz w:val="24"/>
          <w:szCs w:val="24"/>
          <w:u w:val="none"/>
          <w:lang w:val="en-US" w:eastAsia="zh-CN" w:bidi="ar"/>
        </w:rPr>
        <w:t>监控系统零星维修服务采购项目</w:t>
      </w:r>
    </w:p>
    <w:p w14:paraId="161DCD00">
      <w:pPr>
        <w:widowControl/>
        <w:numPr>
          <w:ilvl w:val="0"/>
          <w:numId w:val="0"/>
        </w:numPr>
        <w:spacing w:line="360" w:lineRule="auto"/>
        <w:ind w:firstLine="240" w:firstLineChars="100"/>
        <w:jc w:val="left"/>
        <w:rPr>
          <w:rFonts w:hint="eastAsia" w:ascii="仿宋_GB2312" w:hAnsi="仿宋_GB2312" w:eastAsia="仿宋_GB2312" w:cs="仿宋_GB2312"/>
          <w:bCs/>
          <w:sz w:val="24"/>
          <w:szCs w:val="24"/>
          <w:lang w:val="en-US" w:eastAsia="zh-CN"/>
        </w:rPr>
      </w:pPr>
      <w:r>
        <w:rPr>
          <w:rFonts w:hint="eastAsia" w:ascii="楷体_GB2312" w:hAnsi="楷体_GB2312" w:eastAsia="楷体_GB2312" w:cs="楷体_GB2312"/>
          <w:b/>
          <w:bCs w:val="0"/>
          <w:sz w:val="24"/>
          <w:szCs w:val="24"/>
          <w:lang w:val="en-US" w:eastAsia="zh-CN"/>
        </w:rPr>
        <w:t>二、服务地点：</w:t>
      </w:r>
      <w:r>
        <w:rPr>
          <w:rFonts w:hint="eastAsia" w:ascii="仿宋_GB2312" w:hAnsi="仿宋_GB2312" w:eastAsia="仿宋_GB2312" w:cs="仿宋_GB2312"/>
          <w:bCs/>
          <w:sz w:val="24"/>
          <w:szCs w:val="24"/>
          <w:lang w:val="en-US" w:eastAsia="zh-CN"/>
        </w:rPr>
        <w:t>大邑县人民医院</w:t>
      </w:r>
    </w:p>
    <w:p w14:paraId="670E5C53">
      <w:pPr>
        <w:pStyle w:val="2"/>
        <w:numPr>
          <w:ilvl w:val="0"/>
          <w:numId w:val="0"/>
        </w:numPr>
        <w:spacing w:after="0" w:line="360" w:lineRule="auto"/>
        <w:ind w:firstLine="240" w:firstLineChars="100"/>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b/>
          <w:bCs/>
          <w:sz w:val="24"/>
          <w:szCs w:val="24"/>
          <w:lang w:val="en-US" w:eastAsia="zh-CN"/>
        </w:rPr>
        <w:t>三、服务期限：</w:t>
      </w:r>
      <w:r>
        <w:rPr>
          <w:rFonts w:hint="eastAsia" w:ascii="仿宋_GB2312" w:hAnsi="仿宋_GB2312" w:eastAsia="仿宋_GB2312" w:cs="仿宋_GB2312"/>
          <w:sz w:val="24"/>
          <w:szCs w:val="24"/>
          <w:lang w:val="en-US" w:eastAsia="zh-CN"/>
        </w:rPr>
        <w:t>一年</w:t>
      </w:r>
    </w:p>
    <w:p w14:paraId="474866F2">
      <w:pPr>
        <w:pStyle w:val="8"/>
        <w:spacing w:after="0" w:line="360" w:lineRule="auto"/>
        <w:ind w:left="0" w:leftChars="0" w:firstLine="240" w:firstLineChars="100"/>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b/>
          <w:bCs w:val="0"/>
          <w:sz w:val="24"/>
          <w:szCs w:val="24"/>
          <w:lang w:val="en-US" w:eastAsia="zh-CN"/>
        </w:rPr>
        <w:t>四、预算金额：</w:t>
      </w:r>
      <w:r>
        <w:rPr>
          <w:rFonts w:hint="eastAsia" w:ascii="仿宋_GB2312" w:hAnsi="仿宋_GB2312" w:eastAsia="仿宋_GB2312" w:cs="仿宋_GB2312"/>
          <w:bCs/>
          <w:sz w:val="24"/>
          <w:szCs w:val="24"/>
          <w:lang w:val="en-US" w:eastAsia="zh-CN"/>
        </w:rPr>
        <w:t>4.5万元</w:t>
      </w:r>
    </w:p>
    <w:p w14:paraId="1E47E405">
      <w:pPr>
        <w:pStyle w:val="2"/>
        <w:spacing w:after="0" w:line="360" w:lineRule="auto"/>
        <w:ind w:firstLine="240" w:firstLineChars="100"/>
        <w:rPr>
          <w:rFonts w:hint="eastAsia" w:ascii="仿宋_GB2312" w:hAnsi="仿宋_GB2312" w:eastAsia="仿宋_GB2312" w:cs="仿宋_GB2312"/>
          <w:bCs/>
          <w:sz w:val="24"/>
          <w:szCs w:val="24"/>
          <w:lang w:val="en-US" w:eastAsia="zh-CN"/>
        </w:rPr>
      </w:pPr>
      <w:r>
        <w:rPr>
          <w:rFonts w:hint="eastAsia" w:ascii="楷体_GB2312" w:hAnsi="楷体_GB2312" w:eastAsia="楷体_GB2312" w:cs="楷体_GB2312"/>
          <w:b/>
          <w:bCs w:val="0"/>
          <w:sz w:val="24"/>
          <w:szCs w:val="24"/>
          <w:lang w:val="en-US" w:eastAsia="zh-CN"/>
        </w:rPr>
        <w:t>五、服务内容：</w:t>
      </w:r>
      <w:r>
        <w:rPr>
          <w:rFonts w:hint="eastAsia" w:ascii="仿宋_GB2312" w:hAnsi="仿宋_GB2312" w:eastAsia="仿宋_GB2312" w:cs="仿宋_GB2312"/>
          <w:bCs/>
          <w:sz w:val="24"/>
          <w:szCs w:val="24"/>
          <w:lang w:val="en-US" w:eastAsia="zh-CN"/>
        </w:rPr>
        <w:t>监控系统零星维修服务和技术支持</w:t>
      </w:r>
    </w:p>
    <w:p w14:paraId="67750462">
      <w:pPr>
        <w:pStyle w:val="8"/>
        <w:spacing w:after="0" w:line="360" w:lineRule="auto"/>
        <w:ind w:left="0" w:leftChars="0" w:firstLine="240" w:firstLineChars="100"/>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b/>
          <w:bCs/>
          <w:sz w:val="24"/>
          <w:szCs w:val="24"/>
          <w:lang w:val="en-US" w:eastAsia="zh-CN"/>
        </w:rPr>
        <w:t>六、服务范围：</w:t>
      </w:r>
      <w:r>
        <w:rPr>
          <w:rFonts w:hint="eastAsia" w:ascii="仿宋_GB2312" w:hAnsi="仿宋_GB2312" w:eastAsia="仿宋_GB2312" w:cs="仿宋_GB2312"/>
          <w:sz w:val="24"/>
          <w:szCs w:val="24"/>
          <w:lang w:val="en-US" w:eastAsia="zh-CN"/>
        </w:rPr>
        <w:t>监控线路、监控设备、一键报警系统、入侵报警系统（前后端设备和传输设备）进行定期维护、保养、检修、更换、新增和紧急故障处理工作，确保整个系统的正常运行。</w:t>
      </w:r>
    </w:p>
    <w:p w14:paraId="2B53D035">
      <w:pPr>
        <w:pStyle w:val="9"/>
        <w:rPr>
          <w:rFonts w:hint="eastAsia"/>
          <w:lang w:val="en-US" w:eastAsia="zh-CN"/>
        </w:rPr>
      </w:pPr>
    </w:p>
    <w:p w14:paraId="7FC0B031">
      <w:pPr>
        <w:widowControl/>
        <w:spacing w:line="360" w:lineRule="auto"/>
        <w:ind w:firstLine="0" w:firstLineChars="0"/>
        <w:jc w:val="left"/>
        <w:rPr>
          <w:rFonts w:hint="eastAsia" w:ascii="楷体_GB2312" w:hAnsi="楷体_GB2312" w:eastAsia="楷体_GB2312" w:cs="楷体_GB2312"/>
          <w:b/>
          <w:bCs w:val="0"/>
          <w:sz w:val="24"/>
          <w:szCs w:val="24"/>
          <w:lang w:val="zh-CN"/>
        </w:rPr>
      </w:pPr>
      <w:r>
        <w:rPr>
          <w:rFonts w:hint="eastAsia" w:ascii="仿宋" w:hAnsi="仿宋" w:eastAsia="仿宋" w:cs="仿宋"/>
          <w:i w:val="0"/>
          <w:color w:val="000000"/>
          <w:kern w:val="0"/>
          <w:sz w:val="24"/>
          <w:szCs w:val="24"/>
          <w:u w:val="none"/>
          <w:lang w:val="en-US" w:eastAsia="zh-CN" w:bidi="ar"/>
        </w:rPr>
        <w:t>★</w:t>
      </w:r>
      <w:r>
        <w:rPr>
          <w:rFonts w:hint="eastAsia" w:ascii="楷体_GB2312" w:hAnsi="楷体_GB2312" w:eastAsia="楷体_GB2312" w:cs="楷体_GB2312"/>
          <w:b/>
          <w:bCs w:val="0"/>
          <w:sz w:val="24"/>
          <w:szCs w:val="24"/>
          <w:lang w:val="en-US" w:eastAsia="zh-CN"/>
        </w:rPr>
        <w:t>七、</w:t>
      </w:r>
      <w:r>
        <w:rPr>
          <w:rFonts w:hint="eastAsia" w:ascii="楷体_GB2312" w:hAnsi="楷体_GB2312" w:eastAsia="楷体_GB2312" w:cs="楷体_GB2312"/>
          <w:b/>
          <w:bCs w:val="0"/>
          <w:sz w:val="24"/>
          <w:szCs w:val="24"/>
          <w:lang w:val="zh-CN"/>
        </w:rPr>
        <w:t>更换配件参数及报价</w:t>
      </w:r>
    </w:p>
    <w:p w14:paraId="13A00A2A">
      <w:pPr>
        <w:pStyle w:val="2"/>
        <w:rPr>
          <w:rFonts w:hint="eastAsia"/>
          <w:lang w:val="zh-CN"/>
        </w:rPr>
      </w:pPr>
    </w:p>
    <w:tbl>
      <w:tblPr>
        <w:tblStyle w:val="10"/>
        <w:tblW w:w="9255" w:type="dxa"/>
        <w:tblInd w:w="-3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110"/>
        <w:gridCol w:w="5565"/>
        <w:gridCol w:w="417"/>
        <w:gridCol w:w="423"/>
        <w:gridCol w:w="1095"/>
      </w:tblGrid>
      <w:tr w14:paraId="37480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A9435E0">
            <w:pPr>
              <w:adjustRightInd w:val="0"/>
              <w:snapToGrid w:val="0"/>
              <w:jc w:val="center"/>
              <w:rPr>
                <w:rFonts w:hint="eastAsia" w:ascii="仿宋_GB2312" w:hAnsi="仿宋_GB2312" w:eastAsia="仿宋_GB2312" w:cs="仿宋_GB2312"/>
                <w:b/>
                <w:sz w:val="21"/>
                <w:szCs w:val="21"/>
              </w:rPr>
            </w:pPr>
            <w:r>
              <w:rPr>
                <w:rStyle w:val="15"/>
                <w:rFonts w:hint="eastAsia" w:ascii="仿宋_GB2312" w:hAnsi="仿宋_GB2312" w:eastAsia="仿宋_GB2312" w:cs="仿宋_GB2312"/>
                <w:b/>
                <w:spacing w:val="51"/>
                <w:w w:val="64"/>
                <w:kern w:val="0"/>
                <w:sz w:val="21"/>
                <w:szCs w:val="21"/>
              </w:rPr>
              <w:t>序</w:t>
            </w:r>
            <w:r>
              <w:rPr>
                <w:rStyle w:val="15"/>
                <w:rFonts w:hint="eastAsia" w:ascii="仿宋_GB2312" w:hAnsi="仿宋_GB2312" w:eastAsia="仿宋_GB2312" w:cs="仿宋_GB2312"/>
                <w:b/>
                <w:w w:val="64"/>
                <w:kern w:val="0"/>
                <w:sz w:val="21"/>
                <w:szCs w:val="21"/>
              </w:rPr>
              <w:t>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C3C7594">
            <w:pPr>
              <w:adjustRightInd w:val="0"/>
              <w:snapToGrid w:val="0"/>
              <w:jc w:val="center"/>
              <w:rPr>
                <w:rFonts w:hint="eastAsia" w:ascii="仿宋_GB2312" w:hAnsi="仿宋_GB2312" w:eastAsia="仿宋_GB2312" w:cs="仿宋_GB2312"/>
                <w:b/>
                <w:sz w:val="21"/>
                <w:szCs w:val="21"/>
              </w:rPr>
            </w:pPr>
            <w:r>
              <w:rPr>
                <w:rStyle w:val="15"/>
                <w:rFonts w:hint="eastAsia" w:ascii="仿宋_GB2312" w:hAnsi="仿宋_GB2312" w:eastAsia="仿宋_GB2312" w:cs="仿宋_GB2312"/>
                <w:b/>
                <w:sz w:val="21"/>
                <w:szCs w:val="21"/>
              </w:rPr>
              <w:t>产品名称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558C991">
            <w:pPr>
              <w:adjustRightInd w:val="0"/>
              <w:snapToGrid w:val="0"/>
              <w:jc w:val="center"/>
              <w:rPr>
                <w:rStyle w:val="15"/>
                <w:rFonts w:hint="eastAsia" w:ascii="仿宋_GB2312" w:hAnsi="仿宋_GB2312" w:eastAsia="仿宋_GB2312" w:cs="仿宋_GB2312"/>
                <w:b/>
                <w:sz w:val="21"/>
                <w:szCs w:val="21"/>
              </w:rPr>
            </w:pPr>
            <w:r>
              <w:rPr>
                <w:rStyle w:val="15"/>
                <w:rFonts w:hint="eastAsia" w:ascii="仿宋_GB2312" w:hAnsi="仿宋_GB2312" w:eastAsia="仿宋_GB2312" w:cs="仿宋_GB2312"/>
                <w:b/>
                <w:sz w:val="21"/>
                <w:szCs w:val="21"/>
              </w:rPr>
              <w:t>产品参数</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68425919">
            <w:pPr>
              <w:adjustRightInd w:val="0"/>
              <w:snapToGrid w:val="0"/>
              <w:jc w:val="center"/>
              <w:rPr>
                <w:rFonts w:hint="eastAsia" w:ascii="仿宋_GB2312" w:hAnsi="仿宋_GB2312" w:eastAsia="仿宋_GB2312" w:cs="仿宋_GB2312"/>
                <w:b/>
                <w:sz w:val="21"/>
                <w:szCs w:val="21"/>
              </w:rPr>
            </w:pPr>
            <w:r>
              <w:rPr>
                <w:rStyle w:val="15"/>
                <w:rFonts w:hint="eastAsia" w:ascii="仿宋_GB2312" w:hAnsi="仿宋_GB2312" w:eastAsia="仿宋_GB2312" w:cs="仿宋_GB2312"/>
                <w:b/>
                <w:sz w:val="21"/>
                <w:szCs w:val="21"/>
              </w:rPr>
              <w:t>单位</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353635">
            <w:pPr>
              <w:adjustRightInd w:val="0"/>
              <w:snapToGrid w:val="0"/>
              <w:jc w:val="center"/>
              <w:rPr>
                <w:rFonts w:hint="eastAsia" w:ascii="仿宋_GB2312" w:hAnsi="仿宋_GB2312" w:eastAsia="仿宋_GB2312" w:cs="仿宋_GB2312"/>
                <w:b/>
                <w:sz w:val="21"/>
                <w:szCs w:val="21"/>
              </w:rPr>
            </w:pPr>
            <w:r>
              <w:rPr>
                <w:rStyle w:val="15"/>
                <w:rFonts w:hint="eastAsia" w:ascii="仿宋_GB2312" w:hAnsi="仿宋_GB2312" w:eastAsia="仿宋_GB2312" w:cs="仿宋_GB2312"/>
                <w:b/>
                <w:sz w:val="21"/>
                <w:szCs w:val="21"/>
              </w:rPr>
              <w:t>数量</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2894F5D">
            <w:pPr>
              <w:adjustRightInd w:val="0"/>
              <w:snapToGrid w:val="0"/>
              <w:jc w:val="center"/>
              <w:rPr>
                <w:rStyle w:val="15"/>
                <w:rFonts w:hint="eastAsia" w:ascii="仿宋_GB2312" w:hAnsi="仿宋_GB2312" w:eastAsia="仿宋_GB2312" w:cs="仿宋_GB2312"/>
                <w:b/>
                <w:sz w:val="21"/>
                <w:szCs w:val="21"/>
              </w:rPr>
            </w:pPr>
            <w:r>
              <w:rPr>
                <w:rFonts w:hint="eastAsia" w:ascii="仿宋_GB2312" w:hAnsi="仿宋_GB2312" w:eastAsia="仿宋_GB2312" w:cs="仿宋_GB2312"/>
                <w:b/>
                <w:bCs/>
                <w:color w:val="000000"/>
                <w:sz w:val="21"/>
                <w:szCs w:val="21"/>
              </w:rPr>
              <w:t>单价（元）</w:t>
            </w:r>
          </w:p>
        </w:tc>
      </w:tr>
      <w:tr w14:paraId="5CFE0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6D2410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31F23E">
            <w:pPr>
              <w:adjustRightInd w:val="0"/>
              <w:snapToGrid w:val="0"/>
              <w:rPr>
                <w:rStyle w:val="15"/>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枪式摄像机</w:t>
            </w:r>
            <w:r>
              <w:rPr>
                <w:rFonts w:hint="eastAsia" w:ascii="仿宋_GB2312" w:hAnsi="仿宋_GB2312" w:eastAsia="仿宋_GB2312" w:cs="仿宋_GB2312"/>
                <w:sz w:val="21"/>
                <w:szCs w:val="21"/>
                <w:lang w:eastAsia="zh-CN"/>
              </w:rPr>
              <w:t>、海螺型</w:t>
            </w:r>
            <w:r>
              <w:rPr>
                <w:rFonts w:hint="eastAsia" w:ascii="仿宋_GB2312" w:hAnsi="仿宋_GB2312" w:eastAsia="仿宋_GB2312" w:cs="仿宋_GB2312"/>
                <w:sz w:val="21"/>
                <w:szCs w:val="21"/>
              </w:rPr>
              <w:t>摄像机</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145D3183">
            <w:pPr>
              <w:spacing w:line="240" w:lineRule="auto"/>
              <w:jc w:val="left"/>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1、网络高清摄像机，视频分辨率和帧率≥2560x1440、25帧/秒，最低照度≤0.005 lx，视频压缩标准需支持H.265和H.264；2、具有≥1个网口、支持POE供电，≥1个麦克风，红外补光距离需≥30米，防护等级不低于IP66。</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6D3EEB96">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C7C72FB">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8096AEF">
            <w:pPr>
              <w:adjustRightInd w:val="0"/>
              <w:snapToGrid w:val="0"/>
              <w:jc w:val="center"/>
              <w:rPr>
                <w:rStyle w:val="15"/>
                <w:rFonts w:hint="default" w:ascii="仿宋_GB2312" w:hAnsi="仿宋_GB2312" w:eastAsia="仿宋_GB2312" w:cs="仿宋_GB2312"/>
                <w:sz w:val="21"/>
                <w:szCs w:val="21"/>
                <w:lang w:val="en-US" w:eastAsia="zh-CN"/>
              </w:rPr>
            </w:pPr>
            <w:r>
              <w:rPr>
                <w:rStyle w:val="15"/>
                <w:rFonts w:hint="eastAsia" w:ascii="仿宋_GB2312" w:hAnsi="仿宋_GB2312" w:eastAsia="仿宋_GB2312" w:cs="仿宋_GB2312"/>
                <w:sz w:val="21"/>
                <w:szCs w:val="21"/>
                <w:lang w:val="en-US" w:eastAsia="zh-CN"/>
              </w:rPr>
              <w:t>379</w:t>
            </w:r>
          </w:p>
        </w:tc>
      </w:tr>
      <w:tr w14:paraId="1A74C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1906FC3">
            <w:pPr>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F341C8">
            <w:pPr>
              <w:adjustRightInd w:val="0"/>
              <w:snapToGrid w:val="0"/>
              <w:jc w:val="left"/>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口千兆交换机</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46CAAD1D">
            <w:pPr>
              <w:adjustRightInd w:val="0"/>
              <w:snapToGrid w:val="0"/>
              <w:jc w:val="left"/>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个千兆口交换机，非网管型交换机，桌面式</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111F0D85">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6B00B27">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613582">
            <w:pPr>
              <w:adjustRightInd w:val="0"/>
              <w:snapToGrid w:val="0"/>
              <w:jc w:val="center"/>
              <w:rPr>
                <w:rStyle w:val="15"/>
                <w:rFonts w:hint="eastAsia" w:ascii="仿宋_GB2312" w:hAnsi="仿宋_GB2312" w:eastAsia="仿宋_GB2312" w:cs="仿宋_GB2312"/>
                <w:sz w:val="21"/>
                <w:szCs w:val="21"/>
                <w:lang w:eastAsia="zh-CN"/>
              </w:rPr>
            </w:pPr>
            <w:r>
              <w:rPr>
                <w:rStyle w:val="15"/>
                <w:rFonts w:hint="eastAsia" w:ascii="仿宋_GB2312" w:hAnsi="仿宋_GB2312" w:eastAsia="仿宋_GB2312" w:cs="仿宋_GB2312"/>
                <w:sz w:val="21"/>
                <w:szCs w:val="21"/>
                <w:lang w:val="en-US" w:eastAsia="zh-CN"/>
              </w:rPr>
              <w:t>182</w:t>
            </w:r>
          </w:p>
        </w:tc>
      </w:tr>
      <w:tr w14:paraId="498F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7E841F4">
            <w:pPr>
              <w:jc w:val="center"/>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97DD7B">
            <w:pPr>
              <w:adjustRightInd w:val="0"/>
              <w:snapToGrid w:val="0"/>
              <w:jc w:val="left"/>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口千兆交换机</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1B89D59F">
            <w:pPr>
              <w:adjustRightInd w:val="0"/>
              <w:snapToGrid w:val="0"/>
              <w:jc w:val="left"/>
              <w:rPr>
                <w:rStyle w:val="15"/>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个10/100/1000Mbps自适应电口+2个；10/100/1000Mbps上联光口，交换机容量36Gbps，包转发率26.78Mpps，非网管型交换机机架式。</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0C569BDA">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723D0B0">
            <w:pPr>
              <w:adjustRightInd w:val="0"/>
              <w:snapToGrid w:val="0"/>
              <w:jc w:val="center"/>
              <w:rPr>
                <w:rStyle w:val="15"/>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2F1EFA">
            <w:pPr>
              <w:adjustRightInd w:val="0"/>
              <w:snapToGrid w:val="0"/>
              <w:jc w:val="center"/>
              <w:rPr>
                <w:rStyle w:val="15"/>
                <w:rFonts w:hint="eastAsia" w:ascii="仿宋_GB2312" w:hAnsi="仿宋_GB2312" w:eastAsia="仿宋_GB2312" w:cs="仿宋_GB2312"/>
                <w:sz w:val="21"/>
                <w:szCs w:val="21"/>
                <w:lang w:val="en-US" w:eastAsia="zh-CN"/>
              </w:rPr>
            </w:pPr>
            <w:r>
              <w:rPr>
                <w:rStyle w:val="15"/>
                <w:rFonts w:hint="eastAsia" w:ascii="仿宋_GB2312" w:hAnsi="仿宋_GB2312" w:eastAsia="仿宋_GB2312" w:cs="仿宋_GB2312"/>
                <w:sz w:val="21"/>
                <w:szCs w:val="21"/>
                <w:lang w:val="en-US" w:eastAsia="zh-CN"/>
              </w:rPr>
              <w:t>438</w:t>
            </w:r>
          </w:p>
        </w:tc>
      </w:tr>
      <w:tr w14:paraId="43161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FB9A31">
            <w:pPr>
              <w:jc w:val="center"/>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5053B7">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监控主机（32路）</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329CBB80">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1、采用嵌入式设计，19英寸标准机箱，支持≥32路H.264、H.265视频流混合接入，输入带宽≥256M，支持4K高清网络视频的接入、存储、预览和回放，支持≥12路1080P视频同时解码输出；</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、支持活动目标与实时预览同屏显示，实时预览的同时可以提取视频画面中的活动目标，可显示人脸、人体、车辆等目标图片，点击图片可即时回放相关录像；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、内置不少于8个SATA接口，支持接入</w:t>
            </w:r>
            <w:r>
              <w:rPr>
                <w:rFonts w:hint="eastAsia" w:ascii="仿宋_GB2312" w:hAnsi="仿宋_GB2312" w:eastAsia="仿宋_GB2312" w:cs="仿宋_GB2312"/>
                <w:sz w:val="21"/>
                <w:szCs w:val="21"/>
                <w:lang w:val="en-US" w:eastAsia="zh-CN"/>
              </w:rPr>
              <w:t>4TB/8TB、</w:t>
            </w:r>
            <w:r>
              <w:rPr>
                <w:rFonts w:hint="eastAsia" w:ascii="仿宋_GB2312" w:hAnsi="仿宋_GB2312" w:eastAsia="仿宋_GB2312" w:cs="仿宋_GB2312"/>
                <w:sz w:val="21"/>
                <w:szCs w:val="21"/>
              </w:rPr>
              <w:t>16TB、18TB、20TB等大容量硬盘，支持存储安全保障功能，当存储压力过高或硬盘出现性能不足时，可优先录像业务存储；</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、不少于2个HDMI和2个VGA输出接口，≥2个千兆网口、≥3个USB接口（其中USB3.0接口≥1个）、≥1个eSATA接口，≥1个RS232接口、≥1个RS485接口、≥2路DC 12V输出接口，≥8路报警输入、≥4路报警输出接口。</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585826D">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560B5718">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43D7352">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2420</w:t>
            </w:r>
          </w:p>
        </w:tc>
      </w:tr>
      <w:tr w14:paraId="7D21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D87B1B6">
            <w:pPr>
              <w:jc w:val="center"/>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827A8D">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8T监控硬盘</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12E9CED1">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zh-CN"/>
              </w:rPr>
              <w:t>容量（GB）：8000接口：SATA3.0转速（rpm）：7200。</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6C9FAAF6">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32DA72">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651CEA2">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2728</w:t>
            </w:r>
          </w:p>
        </w:tc>
      </w:tr>
      <w:tr w14:paraId="7C07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3E73DE8">
            <w:pPr>
              <w:jc w:val="center"/>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7E74AF">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集中供电电源12V30A</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59B1D951">
            <w:pPr>
              <w:widowControl/>
              <w:spacing w:line="240" w:lineRule="auto"/>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1、12V30A；2、输出实际功率360W；3、输入电压AC200-240V；</w:t>
            </w:r>
          </w:p>
          <w:p w14:paraId="1B700B85">
            <w:pPr>
              <w:widowControl/>
              <w:spacing w:line="240" w:lineRule="auto"/>
              <w:jc w:val="left"/>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4、输入频率50-60Hz；5、输出电流20A；6、输出电压DC12V；</w:t>
            </w:r>
          </w:p>
          <w:p w14:paraId="2A511B30">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7、工作环境；-10°-40°C；20%-90%RH。</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0ECD580">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0D9CAA9">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554CF61">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162</w:t>
            </w:r>
          </w:p>
        </w:tc>
      </w:tr>
      <w:tr w14:paraId="3938A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DE9DAB6">
            <w:pPr>
              <w:jc w:val="center"/>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lang w:val="en-US" w:eastAsia="zh-CN"/>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C3F1C0">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光纤收发器</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84BDFCC">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1、千兆单模单纤收发器；</w:t>
            </w:r>
            <w:r>
              <w:rPr>
                <w:rFonts w:hint="eastAsia" w:ascii="仿宋_GB2312" w:hAnsi="仿宋_GB2312" w:eastAsia="仿宋_GB2312" w:cs="仿宋_GB2312"/>
                <w:sz w:val="21"/>
                <w:szCs w:val="21"/>
                <w:shd w:val="clear" w:color="auto" w:fill="FFFFFF"/>
              </w:rPr>
              <w:t>2、1个10/100/1000 BaseT（X）自适应RJ45接口；3、1个1000 BaseFX以太网光纤接口；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shd w:val="clear" w:color="auto" w:fill="FFFFFF"/>
              </w:rPr>
              <w:t>4、单模单纤，传输距离可达20、80公里；</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shd w:val="clear" w:color="auto" w:fill="FFFFFF"/>
              </w:rPr>
              <w:t>支持IEEE802.3、IEEE802.3u、IEEE802.3x网络标准；</w:t>
            </w: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shd w:val="clear" w:color="auto" w:fill="FFFFFF"/>
              </w:rPr>
              <w:t>存储转发交换方式；</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shd w:val="clear" w:color="auto" w:fill="FFFFFF"/>
              </w:rPr>
              <w:t>平均无故障时间MTBF≥10万小时；</w:t>
            </w: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shd w:val="clear" w:color="auto" w:fill="FFFFFF"/>
              </w:rPr>
              <w:t>全金属封闭结构，工作温度范围可以达到-30~70 ˚C；</w:t>
            </w: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shd w:val="clear" w:color="auto" w:fill="FFFFFF"/>
              </w:rPr>
              <w:t>工业级设计,安装简便、即插即用。</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106D4B3F">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415CFBD">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E8283EA">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237</w:t>
            </w:r>
          </w:p>
        </w:tc>
      </w:tr>
      <w:tr w14:paraId="2D0F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EFA6852">
            <w:pPr>
              <w:jc w:val="center"/>
              <w:rPr>
                <w:rStyle w:val="15"/>
                <w:rFonts w:hint="eastAsia" w:ascii="仿宋_GB2312" w:hAnsi="仿宋_GB2312" w:eastAsia="仿宋_GB2312" w:cs="仿宋_GB2312"/>
                <w:b/>
                <w:sz w:val="21"/>
                <w:szCs w:val="21"/>
                <w:lang w:eastAsia="zh-CN"/>
              </w:rPr>
            </w:pPr>
            <w:r>
              <w:rPr>
                <w:rStyle w:val="15"/>
                <w:rFonts w:hint="eastAsia" w:ascii="仿宋_GB2312" w:hAnsi="仿宋_GB2312" w:eastAsia="仿宋_GB2312" w:cs="仿宋_GB2312"/>
                <w:sz w:val="21"/>
                <w:szCs w:val="21"/>
                <w:lang w:val="en-US" w:eastAsia="zh-CN"/>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F412D1">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六类网线</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44A20A5">
            <w:pPr>
              <w:tabs>
                <w:tab w:val="left" w:pos="260"/>
              </w:tabs>
              <w:autoSpaceDE w:val="0"/>
              <w:autoSpaceDN w:val="0"/>
              <w:spacing w:line="240" w:lineRule="auto"/>
              <w:jc w:val="left"/>
              <w:rPr>
                <w:rFonts w:hint="eastAsia" w:ascii="仿宋_GB2312" w:hAnsi="仿宋_GB2312" w:eastAsia="仿宋_GB2312" w:cs="仿宋_GB2312"/>
                <w:sz w:val="21"/>
                <w:szCs w:val="21"/>
              </w:rPr>
            </w:pPr>
            <w:r>
              <w:rPr>
                <w:rStyle w:val="12"/>
                <w:rFonts w:hint="eastAsia" w:ascii="仿宋_GB2312" w:hAnsi="仿宋_GB2312" w:eastAsia="仿宋_GB2312" w:cs="仿宋_GB2312"/>
                <w:i w:val="0"/>
                <w:iCs w:val="0"/>
                <w:sz w:val="21"/>
                <w:szCs w:val="21"/>
              </w:rPr>
              <w:t>1、六类网线的最高传输速率为1000Mbps</w:t>
            </w:r>
            <w:r>
              <w:rPr>
                <w:rFonts w:hint="eastAsia" w:ascii="仿宋_GB2312" w:hAnsi="仿宋_GB2312" w:eastAsia="仿宋_GB2312" w:cs="仿宋_GB2312"/>
                <w:sz w:val="21"/>
                <w:szCs w:val="21"/>
              </w:rPr>
              <w:t>。六类网线指的是六类线，也就是符合CAT-6标准的线缆。可用于语音、综合业务数据网络（ISDN）、ATM155Mbps和622Mbps，100MbpsTPDDI，快速以太网和千兆以太网国标六类非屏蔽网线；2、产品标准：ISO_IEC11801-A1-2008、TIA/EIA-568 C.2，YD/T 926.2-2009和YD/T1019-2013；3、产品特性：六类非屏蔽数字电缆传输带宽≥250MHz，满足1000兆数据传输，采用中心十字架结构；铜芯材料采用优质TR实芯裸铜导体,铜线直径≥0.57mm，满足线规23AWG；绝缘采用优质高密度聚乙烯（HDPE）厚度≥0.225mm，护套材料采用优质PVC料，厚度≥0.6±mm ；防火级别为CM，铜缆外径为￠6.3±mm ；工作温度范围：-20 至 75度；4、电缆电气性能和传输特性：直流电阻：≤9.4Ω/ 100m；直流电阻不平衡：≤2.5%；工作电容：≤5.6nF/100m；绝缘电阻：＞5000 MΩ·km；导体间介电强度：1.0KV·1min；5、产品用途：适用于综合布线网络，支持各种高速率ATM622Mb／1.24Gb。</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025508F">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A1F9A96">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132C29">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3.4</w:t>
            </w:r>
          </w:p>
        </w:tc>
      </w:tr>
      <w:tr w14:paraId="2186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6215D5">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sz w:val="21"/>
                <w:szCs w:val="21"/>
                <w:lang w:val="en-US" w:eastAsia="zh-CN"/>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8A404C">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电源线</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03B71BB7">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1、RVV2×1.0国标；2、用途：动力照明，厂用电源线，家用电源线，小型电动工具，仪器仪表之用；3、适用额定电压：450/750V及以下动力装置；产品标准：GB/T 5023、JB/T 8734、GB/T 19666</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4、产品结构：导体：高纯度无氧化铜杆；绝缘：绝缘性能优异PVC绝缘料；护套：高环保级别PVC护套料；</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使用特性：敷设要求：移动连接，固定布线，家装布线或工程布线；外界温度宜不低于0℃；工作温度：PVC绝缘电线导体长期允许工作温度等级为70℃或90℃；弯曲半径：一般电线允许弯曲半径不小于电线外径的6倍。</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5D8600BA">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7258F2B">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F56C01A">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3.2</w:t>
            </w:r>
          </w:p>
        </w:tc>
      </w:tr>
      <w:tr w14:paraId="2BED8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97F83A">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0B09DD">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光纤跳线（1.5米）</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3E9C0904">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单模跳线；2、纤芯直径：单模光纤跳线的纤芯直径一般为9微米；3、衰减：光纤跳线的衰减通常以每公里衰减数（dB/km）来表示，衰减越小光传输质量越好；4、带宽：光纤跳线的带宽取决于光纤芯径、波长和传输距离等因素，一般为数十Gbps至数百Gbps不等。</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37703CEA">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85AC78E">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ED30ACA">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r>
      <w:tr w14:paraId="40203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AAD3B41">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13477">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监控主机（16路）</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E1AA789">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
                <w:szCs w:val="21"/>
              </w:rPr>
              <w:t>1、采用嵌入式设计，19英寸标准机箱，支持≥16路H.264、H.265视频流混合接入，输入带宽≥256M，支持4K高清网络视频的接入、存储、预览和回放，支持≥6路1080P视频同时解码输出；2、支持≥4路图片流人脸识别，支持≥10张/秒人脸比对报警，支持≥16个人脸名单库，总库容≥5万张，支持人脸签到、人脸考勤、人脸1V1比对、以脸搜脸、按属性检索等功能，支持≥2路视频流周界分析；3、支持活动目标与实时预览同屏显示，实时预览的同时可以提取视频画面中的活动目标，可显示人脸、人体、车辆等目标图片，点击图片可即时回放相关录像；4、内置不少于8个SATA接口，支持接入16TB、18TB、20TB等大容量硬盘，支持存储安全保障功能，当存储压力过高或硬盘出现性能不足时，可优先录像业务存储；5、不少于2个HDMI和2个VGA输出接口，≥2个千兆网口、≥3个USB接口（其中USB3.0接口≥1个）、≥1个eSATA接口，≥1个RS232接口、≥1个RS485接口、≥2路DC 12V输出接口，≥8路报警输入、≥4路报警输出接口。</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1691E252">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5E242A0">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D77BDF1">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2715</w:t>
            </w:r>
          </w:p>
        </w:tc>
      </w:tr>
      <w:tr w14:paraId="45AB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D17E1C3">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08B1FE">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4芯光缆（单模）</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F8110ED">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4</w:t>
            </w:r>
            <w:r>
              <w:rPr>
                <w:rFonts w:hint="eastAsia" w:ascii="仿宋_GB2312" w:hAnsi="仿宋_GB2312" w:eastAsia="仿宋_GB2312" w:cs="仿宋_GB2312"/>
                <w:sz w:val="21"/>
                <w:szCs w:val="21"/>
              </w:rPr>
              <w:t>芯（国标）</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4788BF9">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787F6C1">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米</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6EA574">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2.16</w:t>
            </w:r>
          </w:p>
        </w:tc>
      </w:tr>
      <w:tr w14:paraId="747E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7FA7E758">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916274">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显示器</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470CDB8D">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22寸（可壁挂、桌面式）</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C0AD195">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D222BAE">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3A7B66D">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613</w:t>
            </w:r>
          </w:p>
        </w:tc>
      </w:tr>
      <w:tr w14:paraId="2369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C703159">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600992">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交换机（24口）</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58C846E">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国标协议（1000M100M10M传输）</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7900999">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A8426E3">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248D4AD">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1189</w:t>
            </w:r>
          </w:p>
        </w:tc>
      </w:tr>
      <w:tr w14:paraId="4D4F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55F6657">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34D8F2">
            <w:p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POE供电交换机</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C31B40D">
            <w:pPr>
              <w:numPr>
                <w:ilvl w:val="0"/>
                <w:numId w:val="0"/>
              </w:numPr>
              <w:adjustRightInd w:val="0"/>
              <w:snapToGrid w:val="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支持通过5类以太网线的无线访问点（AP）和网络监控摄像头（IPcameras）</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供电1-4端口或1～8端口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支持标准IEEE802.3af供电(端口供电功率最大为15.4W)10/100Mbps自适应RJ45端口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符合IEEE802.310Base-T和IEEE802.3u100Base-TX标准，流控方式：全双工采用IEEE802.3x标准，半双工采用Backpressure标准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支持端口自动翻转（AutoMDI/MDIX）</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支持端口防雷（端口达到防雷要求）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最大PoE功率：105W（所有PoE端口，端口1～4端口或1至8端口）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采用存储转发的交换机制</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所有端口支持线速交换，64～1536帧长范围内均可达到线速</w:t>
            </w:r>
            <w:r>
              <w:rPr>
                <w:rFonts w:hint="eastAsia" w:ascii="仿宋_GB2312" w:hAnsi="仿宋_GB2312" w:eastAsia="仿宋_GB2312" w:cs="仿宋_GB2312"/>
                <w:sz w:val="21"/>
                <w:szCs w:val="21"/>
                <w:lang w:eastAsia="zh-CN"/>
              </w:rPr>
              <w:t>；</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338682CA">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340958C">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848DBB">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379</w:t>
            </w:r>
          </w:p>
        </w:tc>
      </w:tr>
      <w:tr w14:paraId="5A1D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A676796">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4AC2FA">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PVC管</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66A410FC">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 B型管材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047EA48B">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A7CCCC0">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米</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7434D6">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r>
      <w:tr w14:paraId="3443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0183D7E">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D5E0C6">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工时费</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3406DEED">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安装、维护费</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1E48FDD">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5DF8C03">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小时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045924">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52</w:t>
            </w:r>
          </w:p>
        </w:tc>
      </w:tr>
      <w:tr w14:paraId="4F9D8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E6E31A">
            <w:pPr>
              <w:jc w:val="center"/>
              <w:rPr>
                <w:rStyle w:val="15"/>
                <w:rFonts w:hint="eastAsia" w:ascii="仿宋_GB2312" w:hAnsi="仿宋_GB2312" w:eastAsia="仿宋_GB2312" w:cs="仿宋_GB2312"/>
                <w:bCs/>
                <w:sz w:val="21"/>
                <w:szCs w:val="21"/>
                <w:lang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8115EE">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辅材辅助费</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DFD77E6">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插线板、水晶头、光缆熔接等小项</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6DF61574">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30AE7343">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D690B34">
            <w:pPr>
              <w:adjustRightInd w:val="0"/>
              <w:snapToGrid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据实结算</w:t>
            </w:r>
          </w:p>
        </w:tc>
      </w:tr>
      <w:tr w14:paraId="3386C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FF9C77D">
            <w:pPr>
              <w:jc w:val="center"/>
              <w:rPr>
                <w:rStyle w:val="15"/>
                <w:rFonts w:hint="eastAsia" w:ascii="仿宋_GB2312" w:hAnsi="仿宋_GB2312" w:eastAsia="仿宋_GB2312" w:cs="仿宋_GB2312"/>
                <w:bCs/>
                <w:sz w:val="21"/>
                <w:szCs w:val="21"/>
                <w:lang w:val="en-US" w:eastAsia="zh-CN"/>
              </w:rPr>
            </w:pPr>
            <w:r>
              <w:rPr>
                <w:rStyle w:val="15"/>
                <w:rFonts w:hint="eastAsia" w:ascii="仿宋_GB2312" w:hAnsi="仿宋_GB2312" w:eastAsia="仿宋_GB2312" w:cs="仿宋_GB2312"/>
                <w:bCs/>
                <w:sz w:val="21"/>
                <w:szCs w:val="21"/>
              </w:rPr>
              <w:t>1</w:t>
            </w:r>
            <w:r>
              <w:rPr>
                <w:rStyle w:val="15"/>
                <w:rFonts w:hint="eastAsia" w:ascii="仿宋_GB2312" w:hAnsi="仿宋_GB2312" w:eastAsia="仿宋_GB2312" w:cs="仿宋_GB2312"/>
                <w:bCs/>
                <w:sz w:val="21"/>
                <w:szCs w:val="21"/>
                <w:lang w:val="en-US" w:eastAsia="zh-CN"/>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7B87B2">
            <w:pPr>
              <w:adjustRightInd w:val="0"/>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其他项维修</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18F3918B">
            <w:pPr>
              <w:adjustRightInd w:val="0"/>
              <w:snapToGrid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按照实际工程量核定价格</w:t>
            </w:r>
            <w:r>
              <w:rPr>
                <w:rFonts w:hint="eastAsia" w:ascii="仿宋_GB2312" w:hAnsi="仿宋_GB2312" w:eastAsia="仿宋_GB2312" w:cs="仿宋_GB2312"/>
                <w:sz w:val="21"/>
                <w:szCs w:val="21"/>
              </w:rPr>
              <w:t>签证</w:t>
            </w:r>
            <w:r>
              <w:rPr>
                <w:rFonts w:hint="eastAsia" w:ascii="仿宋_GB2312" w:hAnsi="仿宋_GB2312" w:eastAsia="仿宋_GB2312" w:cs="仿宋_GB2312"/>
                <w:sz w:val="21"/>
                <w:szCs w:val="21"/>
                <w:lang w:eastAsia="zh-CN"/>
              </w:rPr>
              <w:t>、验收、</w:t>
            </w:r>
            <w:r>
              <w:rPr>
                <w:rFonts w:hint="eastAsia" w:ascii="仿宋_GB2312" w:hAnsi="仿宋_GB2312" w:eastAsia="仿宋_GB2312" w:cs="仿宋_GB2312"/>
                <w:sz w:val="21"/>
                <w:szCs w:val="21"/>
              </w:rPr>
              <w:t>结算</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71EB65F3">
            <w:pPr>
              <w:adjustRightInd w:val="0"/>
              <w:snapToGrid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E0B9040">
            <w:pPr>
              <w:adjustRightInd w:val="0"/>
              <w:snapToGrid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7BF0367">
            <w:pPr>
              <w:adjustRightInd w:val="0"/>
              <w:snapToGrid w:val="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据实结算</w:t>
            </w:r>
          </w:p>
        </w:tc>
      </w:tr>
      <w:tr w14:paraId="4BB8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E753911">
            <w:pPr>
              <w:jc w:val="center"/>
              <w:rPr>
                <w:rStyle w:val="15"/>
                <w:rFonts w:hint="default" w:ascii="仿宋_GB2312" w:hAnsi="仿宋_GB2312" w:eastAsia="仿宋_GB2312" w:cs="仿宋_GB2312"/>
                <w:bCs/>
                <w:sz w:val="21"/>
                <w:szCs w:val="21"/>
                <w:lang w:val="en-US" w:eastAsia="zh-CN"/>
              </w:rPr>
            </w:pPr>
            <w:r>
              <w:rPr>
                <w:rStyle w:val="15"/>
                <w:rFonts w:hint="eastAsia" w:ascii="仿宋_GB2312" w:hAnsi="仿宋_GB2312" w:eastAsia="仿宋_GB2312" w:cs="仿宋_GB2312"/>
                <w:bCs/>
                <w:sz w:val="21"/>
                <w:szCs w:val="21"/>
                <w:lang w:val="en-US" w:eastAsia="zh-CN"/>
              </w:rPr>
              <w:t>20</w:t>
            </w:r>
          </w:p>
        </w:tc>
        <w:tc>
          <w:tcPr>
            <w:tcW w:w="6675" w:type="dxa"/>
            <w:gridSpan w:val="2"/>
            <w:tcBorders>
              <w:top w:val="single" w:color="000000" w:sz="4" w:space="0"/>
              <w:left w:val="single" w:color="000000" w:sz="4" w:space="0"/>
              <w:bottom w:val="single" w:color="000000" w:sz="4" w:space="0"/>
              <w:right w:val="single" w:color="000000" w:sz="4" w:space="0"/>
            </w:tcBorders>
            <w:noWrap w:val="0"/>
            <w:vAlign w:val="center"/>
          </w:tcPr>
          <w:p w14:paraId="56DC0FAC">
            <w:pPr>
              <w:adjustRightInd w:val="0"/>
              <w:snapToGrid w:val="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合计</w:t>
            </w:r>
          </w:p>
        </w:tc>
        <w:tc>
          <w:tcPr>
            <w:tcW w:w="1935" w:type="dxa"/>
            <w:gridSpan w:val="3"/>
            <w:tcBorders>
              <w:top w:val="single" w:color="000000" w:sz="4" w:space="0"/>
              <w:left w:val="single" w:color="000000" w:sz="4" w:space="0"/>
              <w:bottom w:val="single" w:color="000000" w:sz="4" w:space="0"/>
              <w:right w:val="single" w:color="000000" w:sz="4" w:space="0"/>
            </w:tcBorders>
            <w:noWrap w:val="0"/>
            <w:vAlign w:val="center"/>
          </w:tcPr>
          <w:p w14:paraId="6337DE2E">
            <w:pPr>
              <w:adjustRightInd w:val="0"/>
              <w:snapToGrid w:val="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11514.96</w:t>
            </w:r>
          </w:p>
        </w:tc>
      </w:tr>
      <w:tr w14:paraId="54AF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2AFCC83">
            <w:pPr>
              <w:jc w:val="center"/>
              <w:rPr>
                <w:rStyle w:val="15"/>
                <w:rFonts w:hint="default" w:ascii="仿宋_GB2312" w:hAnsi="仿宋_GB2312" w:eastAsia="仿宋_GB2312" w:cs="仿宋_GB2312"/>
                <w:bCs/>
                <w:sz w:val="21"/>
                <w:szCs w:val="21"/>
                <w:lang w:val="en-US" w:eastAsia="zh-CN"/>
              </w:rPr>
            </w:pPr>
            <w:r>
              <w:rPr>
                <w:rStyle w:val="15"/>
                <w:rFonts w:hint="eastAsia" w:ascii="仿宋_GB2312" w:hAnsi="仿宋_GB2312" w:eastAsia="仿宋_GB2312" w:cs="仿宋_GB2312"/>
                <w:bCs/>
                <w:sz w:val="21"/>
                <w:szCs w:val="21"/>
                <w:lang w:val="en-US" w:eastAsia="zh-CN"/>
              </w:rPr>
              <w:t>1</w:t>
            </w:r>
          </w:p>
        </w:tc>
        <w:tc>
          <w:tcPr>
            <w:tcW w:w="8610" w:type="dxa"/>
            <w:gridSpan w:val="5"/>
            <w:tcBorders>
              <w:top w:val="single" w:color="000000" w:sz="4" w:space="0"/>
              <w:left w:val="single" w:color="000000" w:sz="4" w:space="0"/>
              <w:bottom w:val="single" w:color="000000" w:sz="4" w:space="0"/>
              <w:right w:val="single" w:color="000000" w:sz="4" w:space="0"/>
            </w:tcBorders>
            <w:noWrap w:val="0"/>
            <w:vAlign w:val="center"/>
          </w:tcPr>
          <w:p w14:paraId="121B307C">
            <w:pPr>
              <w:adjustRightInd w:val="0"/>
              <w:snapToGrid w:val="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注：提供的同类产品参数≥清单参数；投标单项价格不大于单项限价</w:t>
            </w:r>
          </w:p>
        </w:tc>
      </w:tr>
    </w:tbl>
    <w:p w14:paraId="36B28921">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textAlignment w:val="auto"/>
        <w:rPr>
          <w:rFonts w:hint="eastAsia" w:ascii="楷体_GB2312" w:hAnsi="楷体_GB2312" w:eastAsia="楷体_GB2312" w:cs="楷体_GB2312"/>
          <w:b/>
          <w:bCs w:val="0"/>
          <w:sz w:val="24"/>
          <w:szCs w:val="24"/>
          <w:lang w:val="en-US" w:eastAsia="zh-CN"/>
        </w:rPr>
      </w:pPr>
    </w:p>
    <w:p w14:paraId="3E51C3C9">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textAlignment w:val="auto"/>
        <w:rPr>
          <w:rFonts w:hint="eastAsia" w:ascii="楷体_GB2312" w:hAnsi="楷体_GB2312" w:eastAsia="楷体_GB2312" w:cs="楷体_GB2312"/>
          <w:b/>
          <w:bCs w:val="0"/>
          <w:sz w:val="24"/>
          <w:szCs w:val="24"/>
          <w:lang w:val="en-US" w:eastAsia="zh-CN"/>
        </w:rPr>
      </w:pPr>
      <w:r>
        <w:rPr>
          <w:rFonts w:hint="eastAsia" w:ascii="楷体_GB2312" w:hAnsi="楷体_GB2312" w:eastAsia="楷体_GB2312" w:cs="楷体_GB2312"/>
          <w:b/>
          <w:bCs w:val="0"/>
          <w:sz w:val="24"/>
          <w:szCs w:val="24"/>
          <w:lang w:val="en-US" w:eastAsia="zh-CN"/>
        </w:rPr>
        <w:t>八、比选申请人参加本次比选活动，应当具备下列条件：</w:t>
      </w:r>
    </w:p>
    <w:p w14:paraId="39A16D24">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1、具有独立承担民事责任的能力；</w:t>
      </w:r>
    </w:p>
    <w:p w14:paraId="49F558D0">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 xml:space="preserve">2、具有良好的商业信誉和健全的财务会计制度； </w:t>
      </w:r>
    </w:p>
    <w:p w14:paraId="0663994C">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3、具有履行合同所必需的设备和专业技术能力；</w:t>
      </w:r>
    </w:p>
    <w:p w14:paraId="5B7A8306">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4、具有依法缴纳税收和社会保障资金的良好记录；</w:t>
      </w:r>
    </w:p>
    <w:p w14:paraId="45F25061">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5、参加本次比选活动前三年内，在经营活动中没有重大违法记录；未处于财产被接管、冻结、破产状态，未处于有关行政处罚期间，未处于投标禁入期内；</w:t>
      </w:r>
    </w:p>
    <w:p w14:paraId="411F641D">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6、法律、行政法规规定的其他条件：</w:t>
      </w:r>
    </w:p>
    <w:p w14:paraId="49C1BF09">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6.1单位负责人为同一人或者存在直接控股、管理关系的不同比选申请人，不得参加同一合同项下的比选活动；</w:t>
      </w:r>
    </w:p>
    <w:p w14:paraId="3BDBB33D">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6.2供应商单位及其法定代表人、主要负责人不得具有行贿犯罪记录；</w:t>
      </w:r>
    </w:p>
    <w:p w14:paraId="4DF87E24">
      <w:pPr>
        <w:pStyle w:val="2"/>
        <w:spacing w:after="0" w:line="360" w:lineRule="auto"/>
        <w:ind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6.3拒绝列入失信被执行人、重大税收违法案件当事人名单、政府采购严重违法失信行为记录名单的比选申请人参加本次比选活动；</w:t>
      </w:r>
    </w:p>
    <w:p w14:paraId="466D0E5A">
      <w:pPr>
        <w:pStyle w:val="2"/>
        <w:spacing w:after="0" w:line="360" w:lineRule="auto"/>
        <w:ind w:firstLine="480" w:firstLineChars="200"/>
        <w:rPr>
          <w:rFonts w:hint="eastAsia" w:ascii="仿宋_GB2312" w:hAnsi="仿宋_GB2312" w:eastAsia="仿宋_GB2312" w:cs="仿宋_GB2312"/>
          <w:bCs/>
          <w:sz w:val="24"/>
          <w:szCs w:val="24"/>
          <w:lang w:val="zh-CN" w:eastAsia="zh-CN"/>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lang w:val="zh-CN" w:eastAsia="zh-CN"/>
        </w:rPr>
        <w:t>本项目不接受联合体参加比选；</w:t>
      </w:r>
    </w:p>
    <w:p w14:paraId="6AD88280">
      <w:pPr>
        <w:keepNext w:val="0"/>
        <w:keepLines w:val="0"/>
        <w:pageBreakBefore w:val="0"/>
        <w:widowControl w:val="0"/>
        <w:kinsoku/>
        <w:wordWrap/>
        <w:overflowPunct/>
        <w:topLinePunct w:val="0"/>
        <w:autoSpaceDE/>
        <w:autoSpaceDN/>
        <w:bidi w:val="0"/>
        <w:adjustRightInd/>
        <w:snapToGrid/>
        <w:spacing w:after="0" w:line="360" w:lineRule="auto"/>
        <w:ind w:firstLine="240" w:firstLineChars="100"/>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九、服务要求</w:t>
      </w:r>
    </w:p>
    <w:p w14:paraId="65B08C22">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★（一）</w:t>
      </w:r>
      <w:r>
        <w:rPr>
          <w:rFonts w:hint="eastAsia" w:ascii="仿宋_GB2312" w:hAnsi="仿宋_GB2312" w:eastAsia="仿宋_GB2312" w:cs="仿宋_GB2312"/>
          <w:bCs/>
          <w:sz w:val="24"/>
          <w:szCs w:val="24"/>
          <w:lang w:val="zh-CN"/>
        </w:rPr>
        <w:t>确保监控设备正常运行，成交供应商需配备与</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监控系统配套的备用设备和配件（注：前端摄像机、光纤发生器、硬盘录像机、硬盘、网络交换机、光纤线、网线），如遇</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监控设备故障，不能及时完成维修时，成交供应商使用备用设备替换，保障系统正常运行。</w:t>
      </w:r>
    </w:p>
    <w:p w14:paraId="3D3F1536">
      <w:pPr>
        <w:pStyle w:val="2"/>
        <w:spacing w:after="0" w:line="360" w:lineRule="auto"/>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rPr>
        <w:t>（二）成交供应商在零星维修服务期间为采购方提供人员培训、系统升级、系统扩容和新系统方案架构等技术支持。</w:t>
      </w:r>
    </w:p>
    <w:p w14:paraId="596438C9">
      <w:pPr>
        <w:widowControl/>
        <w:spacing w:line="360" w:lineRule="auto"/>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rPr>
        <w:t>（三）</w:t>
      </w:r>
      <w:r>
        <w:rPr>
          <w:rFonts w:hint="eastAsia" w:ascii="仿宋_GB2312" w:hAnsi="仿宋_GB2312" w:eastAsia="仿宋_GB2312" w:cs="仿宋_GB2312"/>
          <w:bCs/>
          <w:sz w:val="24"/>
          <w:szCs w:val="24"/>
          <w:lang w:val="zh-CN"/>
        </w:rPr>
        <w:t>当</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有维修需求时，通知成交供应商前往现场确认情况，提出维修的内容和</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要求的维修结果，成交供应商需根据</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零星维修需求并根据自身实际对维修内容以报价单的形式向</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报价，报价单内容必须包含工期、所用材料、维修价格，最终由</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确认后方可开展维修工作；合同中有明确单价的材料按照合同执行，如要使用其他材料成交供应商需单独报价，最终经</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确认。</w:t>
      </w:r>
    </w:p>
    <w:p w14:paraId="5D9D8AD8">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（四）</w:t>
      </w:r>
      <w:r>
        <w:rPr>
          <w:rFonts w:hint="eastAsia" w:ascii="仿宋_GB2312" w:hAnsi="仿宋_GB2312" w:eastAsia="仿宋_GB2312" w:cs="仿宋_GB2312"/>
          <w:bCs/>
          <w:sz w:val="24"/>
          <w:szCs w:val="24"/>
          <w:lang w:val="zh-CN"/>
        </w:rPr>
        <w:t>维修过程中接受</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的监督管理，做到安全、文明、错峰，不影响病人就医，及时施工，确保施工质量和提高工作效率。</w:t>
      </w:r>
    </w:p>
    <w:p w14:paraId="42229BE0">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（五）采购方</w:t>
      </w:r>
      <w:r>
        <w:rPr>
          <w:rFonts w:hint="eastAsia" w:ascii="仿宋_GB2312" w:hAnsi="仿宋_GB2312" w:eastAsia="仿宋_GB2312" w:cs="仿宋_GB2312"/>
          <w:bCs/>
          <w:sz w:val="24"/>
          <w:szCs w:val="24"/>
          <w:lang w:val="zh-CN"/>
        </w:rPr>
        <w:t>单位管理人员会不定时对维修过程进行抽查，如发现且核实了成交供应商未按合同要求作业的，追究成交供应商的责任。</w:t>
      </w:r>
    </w:p>
    <w:p w14:paraId="5B06D5BB">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（六）</w:t>
      </w:r>
      <w:r>
        <w:rPr>
          <w:rFonts w:hint="eastAsia" w:ascii="仿宋_GB2312" w:hAnsi="仿宋_GB2312" w:eastAsia="仿宋_GB2312" w:cs="仿宋_GB2312"/>
          <w:bCs/>
          <w:sz w:val="24"/>
          <w:szCs w:val="24"/>
          <w:lang w:val="zh-CN"/>
        </w:rPr>
        <w:t>对于隐蔽工程，成交供应商要严格管理，严格质量把关，并作好维修过程中的记录，收集过程资料并存档（如图片、图纸等），做到有据可查。</w:t>
      </w:r>
    </w:p>
    <w:p w14:paraId="33EC7D38">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（七）</w:t>
      </w:r>
      <w:r>
        <w:rPr>
          <w:rFonts w:hint="eastAsia" w:ascii="仿宋_GB2312" w:hAnsi="仿宋_GB2312" w:eastAsia="仿宋_GB2312" w:cs="仿宋_GB2312"/>
          <w:bCs/>
          <w:sz w:val="24"/>
          <w:szCs w:val="24"/>
          <w:lang w:val="zh-CN"/>
        </w:rPr>
        <w:t>对于维修过程中需要使用新材料、配件等，成交供应商的产品入场时必须报</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管理人员签收，必须提供产品的合格证明，不得使用劣质伪造产品，一经发现直接上报工商管理部门。</w:t>
      </w:r>
    </w:p>
    <w:p w14:paraId="5C64B32E">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（八）</w:t>
      </w:r>
      <w:r>
        <w:rPr>
          <w:rFonts w:hint="eastAsia" w:ascii="仿宋_GB2312" w:hAnsi="仿宋_GB2312" w:eastAsia="仿宋_GB2312" w:cs="仿宋_GB2312"/>
          <w:bCs/>
          <w:sz w:val="24"/>
          <w:szCs w:val="24"/>
          <w:lang w:val="zh-CN"/>
        </w:rPr>
        <w:t>成交供应商提供全天候服务，收到采</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通知后，1小时内响应，2小时到场。成交供应商接到采购人维修通知后，无论维修量大小、难易，成交供应商须立即安排人员进行维修，紧急情况要确保1小时内到现场，并给出紧急处理建议。</w:t>
      </w:r>
    </w:p>
    <w:p w14:paraId="47FC4E42">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（九）</w:t>
      </w:r>
      <w:r>
        <w:rPr>
          <w:rFonts w:hint="eastAsia" w:ascii="仿宋_GB2312" w:hAnsi="仿宋_GB2312" w:eastAsia="仿宋_GB2312" w:cs="仿宋_GB2312"/>
          <w:bCs/>
          <w:sz w:val="24"/>
          <w:szCs w:val="24"/>
          <w:lang w:val="zh-CN"/>
        </w:rPr>
        <w:t>成交供应商需配备项目负责人1名，维修过程中确保成交供应商项目负责人及工人通讯工具24小时开通，必要时能执行</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的加班要求。</w:t>
      </w:r>
    </w:p>
    <w:p w14:paraId="66217B7E">
      <w:pPr>
        <w:widowControl/>
        <w:spacing w:line="360" w:lineRule="auto"/>
        <w:ind w:firstLine="240" w:firstLineChars="100"/>
        <w:jc w:val="left"/>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en-US" w:eastAsia="zh-CN"/>
        </w:rPr>
        <w:t>（十）</w:t>
      </w:r>
      <w:r>
        <w:rPr>
          <w:rFonts w:hint="eastAsia" w:ascii="仿宋_GB2312" w:hAnsi="仿宋_GB2312" w:eastAsia="仿宋_GB2312" w:cs="仿宋_GB2312"/>
          <w:bCs/>
          <w:color w:val="auto"/>
          <w:sz w:val="24"/>
          <w:szCs w:val="24"/>
          <w:lang w:val="zh-CN"/>
        </w:rPr>
        <w:t>零星维修项目质保期一年，按国家规定</w:t>
      </w:r>
      <w:r>
        <w:rPr>
          <w:rFonts w:hint="eastAsia" w:ascii="仿宋_GB2312" w:hAnsi="仿宋_GB2312" w:eastAsia="仿宋_GB2312" w:cs="仿宋_GB2312"/>
          <w:bCs/>
          <w:color w:val="auto"/>
          <w:sz w:val="24"/>
          <w:szCs w:val="24"/>
          <w:lang w:val="en-US" w:eastAsia="zh-CN"/>
        </w:rPr>
        <w:t>标准执行</w:t>
      </w:r>
      <w:r>
        <w:rPr>
          <w:rFonts w:hint="eastAsia" w:ascii="仿宋_GB2312" w:hAnsi="仿宋_GB2312" w:eastAsia="仿宋_GB2312" w:cs="仿宋_GB2312"/>
          <w:bCs/>
          <w:color w:val="auto"/>
          <w:sz w:val="24"/>
          <w:szCs w:val="24"/>
          <w:lang w:val="zh-CN"/>
        </w:rPr>
        <w:t>；质保</w:t>
      </w:r>
      <w:r>
        <w:rPr>
          <w:rFonts w:hint="eastAsia" w:ascii="仿宋_GB2312" w:hAnsi="仿宋_GB2312" w:eastAsia="仿宋_GB2312" w:cs="仿宋_GB2312"/>
          <w:bCs/>
          <w:sz w:val="24"/>
          <w:szCs w:val="24"/>
          <w:lang w:val="zh-CN"/>
        </w:rPr>
        <w:t>期内除因</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人为原因造成的质量问题外，其余的都由成交供应商免费处理，且质保期重新计算。</w:t>
      </w:r>
    </w:p>
    <w:p w14:paraId="3F259B94">
      <w:pPr>
        <w:widowControl/>
        <w:spacing w:line="360" w:lineRule="auto"/>
        <w:ind w:firstLine="240" w:firstLineChars="100"/>
        <w:jc w:val="left"/>
        <w:rPr>
          <w:rFonts w:hint="eastAsia" w:ascii="仿宋_GB2312" w:hAnsi="仿宋_GB2312" w:eastAsia="仿宋_GB2312" w:cs="仿宋_GB2312"/>
          <w:bCs/>
          <w:sz w:val="24"/>
          <w:szCs w:val="24"/>
          <w:lang w:val="zh-CN"/>
        </w:rPr>
      </w:pPr>
      <w:bookmarkStart w:id="0" w:name="OLE_LINK1"/>
      <w:r>
        <w:rPr>
          <w:rFonts w:hint="eastAsia" w:ascii="仿宋_GB2312" w:hAnsi="仿宋_GB2312" w:eastAsia="仿宋_GB2312" w:cs="仿宋_GB2312"/>
          <w:bCs/>
          <w:sz w:val="24"/>
          <w:szCs w:val="24"/>
          <w:lang w:val="en-US" w:eastAsia="zh-CN"/>
        </w:rPr>
        <w:t>（十一）</w:t>
      </w:r>
      <w:r>
        <w:rPr>
          <w:rFonts w:hint="eastAsia" w:ascii="仿宋_GB2312" w:hAnsi="仿宋_GB2312" w:eastAsia="仿宋_GB2312" w:cs="仿宋_GB2312"/>
          <w:bCs/>
          <w:sz w:val="24"/>
          <w:szCs w:val="24"/>
          <w:lang w:val="zh-CN"/>
        </w:rPr>
        <w:t>成交供应商作业过程中应做好安全保障工作，做好警示提醒工作，在作业过程中出现的一切安全事故均由成交供应商自行承担责任。</w:t>
      </w:r>
    </w:p>
    <w:bookmarkEnd w:id="0"/>
    <w:p w14:paraId="04782146">
      <w:pPr>
        <w:widowControl/>
        <w:spacing w:line="360" w:lineRule="auto"/>
        <w:ind w:firstLine="240" w:firstLineChars="100"/>
        <w:jc w:val="left"/>
        <w:rPr>
          <w:rFonts w:hint="eastAsia" w:ascii="仿宋" w:hAnsi="仿宋" w:eastAsia="仿宋" w:cs="仿宋"/>
          <w:b w:val="0"/>
          <w:bCs w:val="0"/>
          <w:color w:val="000000"/>
          <w:sz w:val="24"/>
          <w:szCs w:val="24"/>
          <w:lang w:val="en-US" w:eastAsia="zh-CN"/>
        </w:rPr>
      </w:pPr>
      <w:r>
        <w:rPr>
          <w:rFonts w:hint="eastAsia" w:ascii="仿宋_GB2312" w:hAnsi="仿宋_GB2312" w:eastAsia="仿宋_GB2312" w:cs="仿宋_GB2312"/>
          <w:bCs/>
          <w:sz w:val="24"/>
          <w:szCs w:val="24"/>
          <w:lang w:val="en-US" w:eastAsia="zh-CN"/>
        </w:rPr>
        <w:t>（十二）</w:t>
      </w:r>
      <w:r>
        <w:rPr>
          <w:rFonts w:hint="eastAsia" w:ascii="仿宋_GB2312" w:hAnsi="仿宋_GB2312" w:eastAsia="仿宋_GB2312" w:cs="仿宋_GB2312"/>
          <w:bCs/>
          <w:sz w:val="24"/>
          <w:szCs w:val="24"/>
          <w:lang w:val="zh-CN"/>
        </w:rPr>
        <w:t>涉及高空作业、有限空间、水电作业、动火动焊的内容，作业人员必须持证上岗，需按照</w:t>
      </w:r>
      <w:r>
        <w:rPr>
          <w:rFonts w:hint="eastAsia" w:ascii="仿宋_GB2312" w:hAnsi="仿宋_GB2312" w:eastAsia="仿宋_GB2312" w:cs="仿宋_GB2312"/>
          <w:bCs/>
          <w:sz w:val="24"/>
          <w:szCs w:val="24"/>
          <w:lang w:val="en-US" w:eastAsia="zh-CN"/>
        </w:rPr>
        <w:t>采购方</w:t>
      </w:r>
      <w:r>
        <w:rPr>
          <w:rFonts w:hint="eastAsia" w:ascii="仿宋_GB2312" w:hAnsi="仿宋_GB2312" w:eastAsia="仿宋_GB2312" w:cs="仿宋_GB2312"/>
          <w:bCs/>
          <w:sz w:val="24"/>
          <w:szCs w:val="24"/>
          <w:lang w:val="zh-CN"/>
        </w:rPr>
        <w:t>安全管理制度报备和要求执行。</w:t>
      </w:r>
    </w:p>
    <w:p w14:paraId="035EA18B">
      <w:pPr>
        <w:pStyle w:val="3"/>
        <w:spacing w:line="360" w:lineRule="auto"/>
        <w:ind w:left="0" w:leftChars="0" w:firstLine="240" w:firstLineChars="100"/>
        <w:rPr>
          <w:rFonts w:hint="eastAsia" w:ascii="楷体_GB2312" w:hAnsi="楷体_GB2312" w:eastAsia="楷体_GB2312" w:cs="楷体_GB2312"/>
          <w:b w:val="0"/>
          <w:bCs w:val="0"/>
          <w:color w:val="000000"/>
          <w:sz w:val="24"/>
          <w:szCs w:val="24"/>
          <w:lang w:val="en-US" w:eastAsia="zh-CN"/>
        </w:rPr>
      </w:pPr>
      <w:r>
        <w:rPr>
          <w:rFonts w:hint="eastAsia" w:ascii="仿宋_GB2312" w:hAnsi="仿宋_GB2312" w:eastAsia="仿宋_GB2312" w:cs="仿宋_GB2312"/>
          <w:color w:val="000000"/>
          <w:kern w:val="0"/>
          <w:sz w:val="24"/>
          <w:szCs w:val="24"/>
        </w:rPr>
        <w:t>注：本章中“★”号项为实质性要求，不满足按照无效响应处理。</w:t>
      </w:r>
    </w:p>
    <w:p w14:paraId="0BA2C1BC">
      <w:pPr>
        <w:widowControl/>
        <w:spacing w:line="560" w:lineRule="exact"/>
        <w:ind w:firstLine="240" w:firstLineChars="100"/>
        <w:jc w:val="left"/>
        <w:rPr>
          <w:rFonts w:hint="default" w:ascii="楷体_GB2312" w:hAnsi="楷体_GB2312" w:eastAsia="楷体_GB2312" w:cs="楷体_GB2312"/>
          <w:b/>
          <w:bCs/>
          <w:color w:val="000000"/>
          <w:sz w:val="24"/>
          <w:szCs w:val="24"/>
          <w:lang w:val="en-US" w:eastAsia="zh-CN"/>
        </w:rPr>
      </w:pPr>
      <w:r>
        <w:rPr>
          <w:rFonts w:hint="eastAsia" w:ascii="楷体_GB2312" w:hAnsi="楷体_GB2312" w:eastAsia="楷体_GB2312" w:cs="楷体_GB2312"/>
          <w:b/>
          <w:bCs/>
          <w:color w:val="000000"/>
          <w:sz w:val="24"/>
          <w:szCs w:val="24"/>
          <w:lang w:val="en-US" w:eastAsia="zh-CN"/>
        </w:rPr>
        <w:t>十、商务要求</w:t>
      </w:r>
    </w:p>
    <w:p w14:paraId="452D2706">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服务期限</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一年</w:t>
      </w:r>
    </w:p>
    <w:p w14:paraId="233D39F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地点：</w:t>
      </w:r>
      <w:r>
        <w:rPr>
          <w:rFonts w:hint="eastAsia" w:ascii="仿宋_GB2312" w:hAnsi="仿宋_GB2312" w:eastAsia="仿宋_GB2312" w:cs="仿宋_GB2312"/>
          <w:sz w:val="24"/>
          <w:szCs w:val="24"/>
          <w:lang w:eastAsia="zh-CN"/>
        </w:rPr>
        <w:t>大邑县</w:t>
      </w:r>
      <w:r>
        <w:rPr>
          <w:rFonts w:hint="eastAsia" w:ascii="仿宋_GB2312" w:hAnsi="仿宋_GB2312" w:eastAsia="仿宋_GB2312" w:cs="仿宋_GB2312"/>
          <w:sz w:val="24"/>
          <w:szCs w:val="24"/>
          <w:lang w:val="en-US" w:eastAsia="zh-CN"/>
        </w:rPr>
        <w:t>人民医院（所有院区）</w:t>
      </w:r>
    </w:p>
    <w:p w14:paraId="4923CDE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3、结算方式:</w:t>
      </w:r>
      <w:r>
        <w:rPr>
          <w:rFonts w:hint="eastAsia" w:ascii="仿宋_GB2312" w:hAnsi="仿宋_GB2312" w:eastAsia="仿宋_GB2312" w:cs="仿宋_GB2312"/>
          <w:sz w:val="24"/>
          <w:szCs w:val="24"/>
          <w:lang w:val="en-US" w:eastAsia="zh-CN"/>
        </w:rPr>
        <w:t>据实</w:t>
      </w:r>
      <w:r>
        <w:rPr>
          <w:rFonts w:hint="eastAsia" w:ascii="仿宋_GB2312" w:hAnsi="仿宋_GB2312" w:eastAsia="仿宋_GB2312" w:cs="仿宋_GB2312"/>
          <w:sz w:val="24"/>
          <w:szCs w:val="24"/>
        </w:rPr>
        <w:t>结算</w:t>
      </w:r>
    </w:p>
    <w:p w14:paraId="7CABF82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项目</w:t>
      </w:r>
      <w:r>
        <w:rPr>
          <w:rFonts w:hint="eastAsia" w:ascii="仿宋_GB2312" w:hAnsi="仿宋_GB2312" w:eastAsia="仿宋_GB2312" w:cs="仿宋_GB2312"/>
          <w:color w:val="000000"/>
          <w:kern w:val="0"/>
          <w:sz w:val="24"/>
          <w:szCs w:val="24"/>
        </w:rPr>
        <w:t>计价方式</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合同履行过程中，</w:t>
      </w:r>
      <w:r>
        <w:rPr>
          <w:rFonts w:hint="eastAsia" w:ascii="仿宋_GB2312" w:hAnsi="仿宋_GB2312" w:eastAsia="仿宋_GB2312" w:cs="仿宋_GB2312"/>
          <w:sz w:val="24"/>
          <w:szCs w:val="24"/>
          <w:lang w:val="en-US" w:eastAsia="zh-CN"/>
        </w:rPr>
        <w:t>中标产品</w:t>
      </w:r>
      <w:r>
        <w:rPr>
          <w:rFonts w:hint="eastAsia" w:ascii="仿宋_GB2312" w:hAnsi="仿宋_GB2312" w:eastAsia="仿宋_GB2312" w:cs="仿宋_GB2312"/>
          <w:sz w:val="24"/>
          <w:szCs w:val="24"/>
        </w:rPr>
        <w:t>单价不予调整，</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结算按照实际完成工程量进行结算。</w:t>
      </w:r>
    </w:p>
    <w:p w14:paraId="711BB4F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5、付款方式：</w:t>
      </w:r>
      <w:bookmarkStart w:id="1" w:name="OLE_LINK6"/>
      <w:r>
        <w:rPr>
          <w:rFonts w:hint="eastAsia" w:ascii="仿宋_GB2312" w:hAnsi="仿宋_GB2312" w:eastAsia="仿宋_GB2312" w:cs="仿宋_GB2312"/>
          <w:sz w:val="24"/>
          <w:szCs w:val="24"/>
          <w:lang w:val="en-US" w:eastAsia="zh-CN"/>
        </w:rPr>
        <w:t>每完成一个</w:t>
      </w:r>
      <w:r>
        <w:rPr>
          <w:rFonts w:hint="eastAsia" w:ascii="仿宋_GB2312" w:hAnsi="仿宋_GB2312" w:eastAsia="仿宋_GB2312" w:cs="仿宋_GB2312"/>
          <w:sz w:val="24"/>
          <w:szCs w:val="24"/>
        </w:rPr>
        <w:t>项目并经验收合格后，</w:t>
      </w:r>
      <w:bookmarkEnd w:id="1"/>
      <w:r>
        <w:rPr>
          <w:rFonts w:hint="eastAsia" w:ascii="仿宋_GB2312" w:hAnsi="仿宋_GB2312" w:eastAsia="仿宋_GB2312" w:cs="仿宋_GB2312"/>
          <w:b w:val="0"/>
          <w:bCs w:val="0"/>
          <w:color w:val="auto"/>
          <w:sz w:val="24"/>
          <w:szCs w:val="24"/>
          <w:highlight w:val="none"/>
          <w:lang w:val="en-US" w:eastAsia="zh-CN"/>
        </w:rPr>
        <w:t>成交供应商须向比选人开具合法有效的税务发票,以转账的方式支付，</w:t>
      </w:r>
      <w:r>
        <w:rPr>
          <w:rFonts w:hint="eastAsia" w:ascii="仿宋_GB2312" w:hAnsi="仿宋_GB2312" w:eastAsia="仿宋_GB2312" w:cs="仿宋_GB2312"/>
          <w:sz w:val="24"/>
          <w:szCs w:val="24"/>
        </w:rPr>
        <w:t>支付至结算总价的</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w:t>
      </w:r>
    </w:p>
    <w:p w14:paraId="3BA26D32">
      <w:pPr>
        <w:pStyle w:val="2"/>
        <w:spacing w:after="0"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6、质量保修期：</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年。</w:t>
      </w:r>
    </w:p>
    <w:p w14:paraId="076DC14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7、验收方式和验收标准：</w:t>
      </w:r>
    </w:p>
    <w:p w14:paraId="02C357D8">
      <w:pPr>
        <w:pStyle w:val="2"/>
        <w:spacing w:after="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（1）验收方式：每完成一个</w:t>
      </w:r>
      <w:r>
        <w:rPr>
          <w:rFonts w:hint="eastAsia" w:ascii="仿宋_GB2312" w:hAnsi="仿宋_GB2312" w:eastAsia="仿宋_GB2312" w:cs="仿宋_GB2312"/>
          <w:sz w:val="24"/>
          <w:szCs w:val="24"/>
          <w:lang w:val="en-US" w:eastAsia="zh-CN"/>
        </w:rPr>
        <w:t>项目进行</w:t>
      </w:r>
      <w:r>
        <w:rPr>
          <w:rFonts w:hint="eastAsia" w:ascii="仿宋_GB2312" w:hAnsi="仿宋_GB2312" w:eastAsia="仿宋_GB2312" w:cs="仿宋_GB2312"/>
          <w:sz w:val="24"/>
          <w:szCs w:val="24"/>
        </w:rPr>
        <w:t>一次竣工验收。</w:t>
      </w:r>
    </w:p>
    <w:p w14:paraId="309344C5">
      <w:pPr>
        <w:pStyle w:val="2"/>
        <w:spacing w:after="0"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（2）验收标准：现行国家规范及质量验收标准及双方订立的合同进行验收</w:t>
      </w:r>
      <w:r>
        <w:rPr>
          <w:rFonts w:hint="eastAsia" w:ascii="仿宋_GB2312" w:hAnsi="仿宋_GB2312" w:eastAsia="仿宋_GB2312" w:cs="仿宋_GB2312"/>
          <w:sz w:val="24"/>
          <w:szCs w:val="24"/>
          <w:lang w:eastAsia="zh-CN"/>
        </w:rPr>
        <w:t>。</w:t>
      </w:r>
    </w:p>
    <w:p w14:paraId="40920C29">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8、其他未尽事宜由</w:t>
      </w:r>
      <w:r>
        <w:rPr>
          <w:rFonts w:hint="eastAsia" w:ascii="仿宋_GB2312" w:hAnsi="仿宋_GB2312" w:eastAsia="仿宋_GB2312" w:cs="仿宋_GB2312"/>
          <w:sz w:val="24"/>
          <w:szCs w:val="24"/>
          <w:lang w:val="en-US" w:eastAsia="zh-CN"/>
        </w:rPr>
        <w:t>采购方</w:t>
      </w:r>
      <w:r>
        <w:rPr>
          <w:rFonts w:hint="eastAsia" w:ascii="仿宋_GB2312" w:hAnsi="仿宋_GB2312" w:eastAsia="仿宋_GB2312" w:cs="仿宋_GB2312"/>
          <w:sz w:val="24"/>
          <w:szCs w:val="24"/>
          <w:lang w:eastAsia="zh-CN"/>
        </w:rPr>
        <w:t>与成交供应商协商，在签订采购合同时进行约定。</w:t>
      </w:r>
    </w:p>
    <w:tbl>
      <w:tblPr>
        <w:tblStyle w:val="10"/>
        <w:tblpPr w:leftFromText="180" w:rightFromText="180" w:vertAnchor="page" w:horzAnchor="page" w:tblpX="1724" w:tblpY="2515"/>
        <w:tblOverlap w:val="never"/>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088"/>
        <w:gridCol w:w="1134"/>
        <w:gridCol w:w="4536"/>
        <w:gridCol w:w="1095"/>
      </w:tblGrid>
      <w:tr w14:paraId="4C0C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dxa"/>
            <w:vAlign w:val="center"/>
          </w:tcPr>
          <w:p w14:paraId="48F0BBFD">
            <w:pPr>
              <w:spacing w:line="36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序号</w:t>
            </w:r>
          </w:p>
        </w:tc>
        <w:tc>
          <w:tcPr>
            <w:tcW w:w="1088" w:type="dxa"/>
            <w:vAlign w:val="center"/>
          </w:tcPr>
          <w:p w14:paraId="5C6972ED">
            <w:pPr>
              <w:spacing w:line="36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评分因素</w:t>
            </w:r>
          </w:p>
        </w:tc>
        <w:tc>
          <w:tcPr>
            <w:tcW w:w="1134" w:type="dxa"/>
            <w:vAlign w:val="center"/>
          </w:tcPr>
          <w:p w14:paraId="0FE118D4">
            <w:pPr>
              <w:spacing w:line="36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分值</w:t>
            </w:r>
          </w:p>
        </w:tc>
        <w:tc>
          <w:tcPr>
            <w:tcW w:w="4536" w:type="dxa"/>
            <w:vAlign w:val="center"/>
          </w:tcPr>
          <w:p w14:paraId="0A6CB003">
            <w:pPr>
              <w:spacing w:line="36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评分依据</w:t>
            </w:r>
          </w:p>
        </w:tc>
        <w:tc>
          <w:tcPr>
            <w:tcW w:w="1095" w:type="dxa"/>
            <w:vAlign w:val="center"/>
          </w:tcPr>
          <w:p w14:paraId="489AC6AF">
            <w:pPr>
              <w:spacing w:line="360" w:lineRule="auto"/>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备注</w:t>
            </w:r>
          </w:p>
        </w:tc>
      </w:tr>
      <w:tr w14:paraId="17A7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485" w:type="dxa"/>
            <w:vAlign w:val="center"/>
          </w:tcPr>
          <w:p w14:paraId="3B5186FB">
            <w:pPr>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088" w:type="dxa"/>
            <w:vAlign w:val="center"/>
          </w:tcPr>
          <w:p w14:paraId="2AA7986F">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价格</w:t>
            </w:r>
            <w:r>
              <w:rPr>
                <w:rFonts w:hint="eastAsia" w:ascii="仿宋_GB2312" w:hAnsi="仿宋_GB2312" w:eastAsia="仿宋_GB2312" w:cs="仿宋_GB2312"/>
                <w:sz w:val="21"/>
                <w:szCs w:val="21"/>
              </w:rPr>
              <w:t>20%</w:t>
            </w:r>
          </w:p>
        </w:tc>
        <w:tc>
          <w:tcPr>
            <w:tcW w:w="1134" w:type="dxa"/>
            <w:vAlign w:val="center"/>
          </w:tcPr>
          <w:p w14:paraId="7E48C058">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20分</w:t>
            </w:r>
          </w:p>
        </w:tc>
        <w:tc>
          <w:tcPr>
            <w:tcW w:w="4536" w:type="dxa"/>
            <w:vAlign w:val="center"/>
          </w:tcPr>
          <w:p w14:paraId="012D326F">
            <w:pPr>
              <w:autoSpaceDE w:val="0"/>
              <w:autoSpaceDN w:val="0"/>
              <w:adjustRightInd w:val="0"/>
              <w:spacing w:line="36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以本次有效的最低</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报价为基准价，</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报价得分=(</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基准价／最后</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w:t>
            </w: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报价得分保留小数点后两位。</w:t>
            </w:r>
          </w:p>
        </w:tc>
        <w:tc>
          <w:tcPr>
            <w:tcW w:w="1095" w:type="dxa"/>
            <w:vAlign w:val="center"/>
          </w:tcPr>
          <w:p w14:paraId="48EDF558">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r>
      <w:tr w14:paraId="110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dxa"/>
            <w:vAlign w:val="center"/>
          </w:tcPr>
          <w:p w14:paraId="1F3A69BA">
            <w:pPr>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088" w:type="dxa"/>
            <w:vAlign w:val="center"/>
          </w:tcPr>
          <w:p w14:paraId="573423C7">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服务要求44</w:t>
            </w:r>
            <w:r>
              <w:rPr>
                <w:rFonts w:hint="eastAsia" w:ascii="仿宋_GB2312" w:hAnsi="仿宋_GB2312" w:eastAsia="仿宋_GB2312" w:cs="仿宋_GB2312"/>
                <w:color w:val="000000"/>
                <w:sz w:val="21"/>
                <w:szCs w:val="21"/>
              </w:rPr>
              <w:t>%</w:t>
            </w:r>
          </w:p>
        </w:tc>
        <w:tc>
          <w:tcPr>
            <w:tcW w:w="1134" w:type="dxa"/>
            <w:vAlign w:val="center"/>
          </w:tcPr>
          <w:p w14:paraId="3E6C34E9">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44</w:t>
            </w:r>
            <w:r>
              <w:rPr>
                <w:rFonts w:hint="eastAsia" w:ascii="仿宋_GB2312" w:hAnsi="仿宋_GB2312" w:eastAsia="仿宋_GB2312" w:cs="仿宋_GB2312"/>
                <w:sz w:val="21"/>
                <w:szCs w:val="21"/>
              </w:rPr>
              <w:t>分</w:t>
            </w:r>
          </w:p>
        </w:tc>
        <w:tc>
          <w:tcPr>
            <w:tcW w:w="4536" w:type="dxa"/>
            <w:vAlign w:val="center"/>
          </w:tcPr>
          <w:p w14:paraId="14DD6BD9">
            <w:pPr>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w:t>
            </w:r>
            <w:r>
              <w:rPr>
                <w:rFonts w:hint="eastAsia" w:ascii="仿宋_GB2312" w:hAnsi="仿宋_GB2312" w:eastAsia="仿宋_GB2312" w:cs="仿宋_GB2312"/>
                <w:color w:val="000000"/>
                <w:sz w:val="21"/>
                <w:szCs w:val="21"/>
                <w:lang w:val="en-US" w:eastAsia="zh-CN"/>
              </w:rPr>
              <w:t>承诺</w:t>
            </w:r>
            <w:r>
              <w:rPr>
                <w:rFonts w:hint="eastAsia" w:ascii="仿宋_GB2312" w:hAnsi="仿宋_GB2312" w:eastAsia="仿宋_GB2312" w:cs="仿宋_GB2312"/>
                <w:color w:val="000000"/>
                <w:sz w:val="21"/>
                <w:szCs w:val="21"/>
              </w:rPr>
              <w:t>完全满足</w:t>
            </w:r>
            <w:r>
              <w:rPr>
                <w:rFonts w:hint="eastAsia" w:ascii="仿宋_GB2312" w:hAnsi="仿宋_GB2312" w:eastAsia="仿宋_GB2312" w:cs="仿宋_GB2312"/>
                <w:color w:val="000000"/>
                <w:sz w:val="21"/>
                <w:szCs w:val="21"/>
                <w:lang w:val="en-US" w:eastAsia="zh-CN"/>
              </w:rPr>
              <w:t>服务内容</w:t>
            </w:r>
            <w:r>
              <w:rPr>
                <w:rFonts w:hint="eastAsia" w:ascii="仿宋_GB2312" w:hAnsi="仿宋_GB2312" w:eastAsia="仿宋_GB2312" w:cs="仿宋_GB2312"/>
                <w:color w:val="000000"/>
                <w:sz w:val="21"/>
                <w:szCs w:val="21"/>
              </w:rPr>
              <w:t>得</w:t>
            </w:r>
            <w:r>
              <w:rPr>
                <w:rFonts w:hint="eastAsia" w:ascii="仿宋_GB2312" w:hAnsi="仿宋_GB2312" w:eastAsia="仿宋_GB2312" w:cs="仿宋_GB2312"/>
                <w:color w:val="000000"/>
                <w:sz w:val="21"/>
                <w:szCs w:val="21"/>
                <w:lang w:val="en-US" w:eastAsia="zh-CN"/>
              </w:rPr>
              <w:t>44</w:t>
            </w:r>
            <w:r>
              <w:rPr>
                <w:rFonts w:hint="eastAsia" w:ascii="仿宋_GB2312" w:hAnsi="仿宋_GB2312" w:eastAsia="仿宋_GB2312" w:cs="仿宋_GB2312"/>
                <w:color w:val="000000"/>
                <w:sz w:val="21"/>
                <w:szCs w:val="21"/>
              </w:rPr>
              <w:t>分，有一项不满足的扣</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分。</w:t>
            </w:r>
          </w:p>
        </w:tc>
        <w:tc>
          <w:tcPr>
            <w:tcW w:w="1095" w:type="dxa"/>
            <w:vAlign w:val="center"/>
          </w:tcPr>
          <w:p w14:paraId="4D9FAD70">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r>
      <w:tr w14:paraId="7593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485" w:type="dxa"/>
            <w:vAlign w:val="center"/>
          </w:tcPr>
          <w:p w14:paraId="271D2C85">
            <w:pPr>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1088" w:type="dxa"/>
            <w:vAlign w:val="center"/>
          </w:tcPr>
          <w:p w14:paraId="4F28A8DF">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服务方案</w:t>
            </w:r>
            <w:r>
              <w:rPr>
                <w:rFonts w:hint="eastAsia" w:ascii="仿宋_GB2312" w:hAnsi="仿宋_GB2312" w:eastAsia="仿宋_GB2312" w:cs="仿宋_GB2312"/>
                <w:color w:val="000000"/>
                <w:sz w:val="21"/>
                <w:szCs w:val="21"/>
                <w:lang w:val="en-US" w:eastAsia="zh-CN"/>
              </w:rPr>
              <w:t>24</w:t>
            </w:r>
            <w:r>
              <w:rPr>
                <w:rFonts w:hint="eastAsia" w:ascii="仿宋_GB2312" w:hAnsi="仿宋_GB2312" w:eastAsia="仿宋_GB2312" w:cs="仿宋_GB2312"/>
                <w:color w:val="000000"/>
                <w:sz w:val="21"/>
                <w:szCs w:val="21"/>
              </w:rPr>
              <w:t xml:space="preserve">% </w:t>
            </w:r>
          </w:p>
        </w:tc>
        <w:tc>
          <w:tcPr>
            <w:tcW w:w="1134" w:type="dxa"/>
            <w:vAlign w:val="center"/>
          </w:tcPr>
          <w:p w14:paraId="25A703BD">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24</w:t>
            </w:r>
            <w:r>
              <w:rPr>
                <w:rFonts w:hint="eastAsia" w:ascii="仿宋_GB2312" w:hAnsi="仿宋_GB2312" w:eastAsia="仿宋_GB2312" w:cs="仿宋_GB2312"/>
                <w:color w:val="000000"/>
                <w:sz w:val="21"/>
                <w:szCs w:val="21"/>
              </w:rPr>
              <w:t xml:space="preserve">分 </w:t>
            </w:r>
          </w:p>
        </w:tc>
        <w:tc>
          <w:tcPr>
            <w:tcW w:w="4536" w:type="dxa"/>
            <w:vAlign w:val="center"/>
          </w:tcPr>
          <w:p w14:paraId="4BCD8FDA">
            <w:pPr>
              <w:spacing w:line="360" w:lineRule="auto"/>
              <w:rPr>
                <w:rFonts w:hint="eastAsia"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bidi="ar"/>
              </w:rPr>
              <w:t>1、管理制度</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bidi="ar"/>
              </w:rPr>
              <w:t>2、</w:t>
            </w:r>
            <w:r>
              <w:rPr>
                <w:rFonts w:hint="eastAsia" w:ascii="仿宋_GB2312" w:hAnsi="仿宋_GB2312" w:eastAsia="仿宋_GB2312" w:cs="仿宋_GB2312"/>
                <w:sz w:val="21"/>
                <w:szCs w:val="21"/>
                <w:lang w:val="en-US" w:eastAsia="zh-CN" w:bidi="ar"/>
              </w:rPr>
              <w:t>服务</w:t>
            </w:r>
            <w:r>
              <w:rPr>
                <w:rFonts w:hint="eastAsia" w:ascii="仿宋_GB2312" w:hAnsi="仿宋_GB2312" w:eastAsia="仿宋_GB2312" w:cs="仿宋_GB2312"/>
                <w:sz w:val="21"/>
                <w:szCs w:val="21"/>
                <w:lang w:bidi="ar"/>
              </w:rPr>
              <w:t>方案</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val="en-US" w:eastAsia="zh-CN" w:bidi="ar"/>
              </w:rPr>
              <w:t>3、</w:t>
            </w:r>
            <w:r>
              <w:rPr>
                <w:rFonts w:hint="eastAsia" w:ascii="仿宋_GB2312" w:hAnsi="仿宋_GB2312" w:eastAsia="仿宋_GB2312" w:cs="仿宋_GB2312"/>
                <w:color w:val="000000"/>
                <w:sz w:val="21"/>
                <w:szCs w:val="21"/>
              </w:rPr>
              <w:t>确保质量目标实现的组织保障措施和技术保障措施；</w:t>
            </w:r>
            <w:r>
              <w:rPr>
                <w:rFonts w:hint="eastAsia" w:ascii="仿宋_GB2312" w:hAnsi="仿宋_GB2312" w:eastAsia="仿宋_GB2312" w:cs="仿宋_GB2312"/>
                <w:color w:val="000000"/>
                <w:sz w:val="21"/>
                <w:szCs w:val="21"/>
                <w:lang w:val="en-US" w:eastAsia="zh-CN"/>
              </w:rPr>
              <w:t>4、安全组织措施和安全技术措施</w:t>
            </w:r>
          </w:p>
          <w:p w14:paraId="31FC35AF">
            <w:pPr>
              <w:spacing w:line="360" w:lineRule="auto"/>
              <w:rPr>
                <w:rFonts w:hint="default"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bidi="ar"/>
              </w:rPr>
              <w:t>注：以上内容</w:t>
            </w:r>
            <w:r>
              <w:rPr>
                <w:rFonts w:hint="eastAsia" w:ascii="仿宋_GB2312" w:hAnsi="仿宋_GB2312" w:eastAsia="仿宋_GB2312" w:cs="仿宋_GB2312"/>
                <w:sz w:val="21"/>
                <w:szCs w:val="21"/>
                <w:lang w:val="en-US" w:eastAsia="zh-CN" w:bidi="ar"/>
              </w:rPr>
              <w:t>完全满足</w:t>
            </w:r>
            <w:r>
              <w:rPr>
                <w:rFonts w:hint="eastAsia" w:ascii="仿宋_GB2312" w:hAnsi="仿宋_GB2312" w:eastAsia="仿宋_GB2312" w:cs="仿宋_GB2312"/>
                <w:sz w:val="21"/>
                <w:szCs w:val="21"/>
                <w:lang w:bidi="ar"/>
              </w:rPr>
              <w:t>且符合本项目实际情况的得</w:t>
            </w:r>
            <w:r>
              <w:rPr>
                <w:rFonts w:hint="eastAsia" w:ascii="仿宋_GB2312" w:hAnsi="仿宋_GB2312" w:eastAsia="仿宋_GB2312" w:cs="仿宋_GB2312"/>
                <w:sz w:val="21"/>
                <w:szCs w:val="21"/>
                <w:lang w:val="en-US" w:eastAsia="zh-CN" w:bidi="ar"/>
              </w:rPr>
              <w:t>24</w:t>
            </w:r>
            <w:r>
              <w:rPr>
                <w:rFonts w:hint="eastAsia" w:ascii="仿宋_GB2312" w:hAnsi="仿宋_GB2312" w:eastAsia="仿宋_GB2312" w:cs="仿宋_GB2312"/>
                <w:sz w:val="21"/>
                <w:szCs w:val="21"/>
                <w:lang w:bidi="ar"/>
              </w:rPr>
              <w:t>分，每缺少一项扣</w:t>
            </w:r>
            <w:r>
              <w:rPr>
                <w:rFonts w:hint="eastAsia" w:ascii="仿宋_GB2312" w:hAnsi="仿宋_GB2312" w:eastAsia="仿宋_GB2312" w:cs="仿宋_GB2312"/>
                <w:sz w:val="21"/>
                <w:szCs w:val="21"/>
                <w:lang w:val="en-US" w:eastAsia="zh-CN" w:bidi="ar"/>
              </w:rPr>
              <w:t>6</w:t>
            </w:r>
            <w:r>
              <w:rPr>
                <w:rFonts w:hint="eastAsia" w:ascii="仿宋_GB2312" w:hAnsi="仿宋_GB2312" w:eastAsia="仿宋_GB2312" w:cs="仿宋_GB2312"/>
                <w:sz w:val="21"/>
                <w:szCs w:val="21"/>
                <w:lang w:bidi="ar"/>
              </w:rPr>
              <w:t>分，每有一项存在缺陷或不足的扣</w:t>
            </w:r>
            <w:r>
              <w:rPr>
                <w:rFonts w:hint="eastAsia" w:ascii="仿宋_GB2312" w:hAnsi="仿宋_GB2312" w:eastAsia="仿宋_GB2312" w:cs="仿宋_GB2312"/>
                <w:sz w:val="21"/>
                <w:szCs w:val="21"/>
                <w:lang w:val="en-US" w:eastAsia="zh-CN" w:bidi="ar"/>
              </w:rPr>
              <w:t>3</w:t>
            </w:r>
            <w:r>
              <w:rPr>
                <w:rFonts w:hint="eastAsia" w:ascii="仿宋_GB2312" w:hAnsi="仿宋_GB2312" w:eastAsia="仿宋_GB2312" w:cs="仿宋_GB2312"/>
                <w:sz w:val="21"/>
                <w:szCs w:val="21"/>
                <w:lang w:bidi="ar"/>
              </w:rPr>
              <w:t>分</w:t>
            </w:r>
            <w:r>
              <w:rPr>
                <w:rFonts w:hint="eastAsia" w:ascii="仿宋_GB2312" w:hAnsi="仿宋_GB2312" w:eastAsia="仿宋_GB2312" w:cs="仿宋_GB2312"/>
                <w:sz w:val="21"/>
                <w:szCs w:val="21"/>
                <w:lang w:eastAsia="zh-CN" w:bidi="ar"/>
              </w:rPr>
              <w:t>，</w:t>
            </w:r>
            <w:r>
              <w:rPr>
                <w:rFonts w:hint="eastAsia" w:ascii="仿宋_GB2312" w:hAnsi="仿宋_GB2312" w:eastAsia="仿宋_GB2312" w:cs="仿宋_GB2312"/>
                <w:sz w:val="21"/>
                <w:szCs w:val="21"/>
                <w:lang w:val="en-US" w:eastAsia="zh-CN" w:bidi="ar"/>
              </w:rPr>
              <w:t>直至本项扣完为止。</w:t>
            </w:r>
          </w:p>
        </w:tc>
        <w:tc>
          <w:tcPr>
            <w:tcW w:w="1095" w:type="dxa"/>
            <w:vAlign w:val="center"/>
          </w:tcPr>
          <w:p w14:paraId="537382A5">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r>
      <w:tr w14:paraId="3D2F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5" w:type="dxa"/>
            <w:vAlign w:val="center"/>
          </w:tcPr>
          <w:p w14:paraId="56F5F2E1">
            <w:pPr>
              <w:spacing w:line="360" w:lineRule="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1088" w:type="dxa"/>
            <w:vAlign w:val="center"/>
          </w:tcPr>
          <w:p w14:paraId="72FBF012">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履约能力12% </w:t>
            </w:r>
          </w:p>
        </w:tc>
        <w:tc>
          <w:tcPr>
            <w:tcW w:w="1134" w:type="dxa"/>
            <w:vAlign w:val="center"/>
          </w:tcPr>
          <w:p w14:paraId="1ED17503">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12分 </w:t>
            </w:r>
          </w:p>
        </w:tc>
        <w:tc>
          <w:tcPr>
            <w:tcW w:w="4536" w:type="dxa"/>
            <w:vAlign w:val="center"/>
          </w:tcPr>
          <w:p w14:paraId="36E71525">
            <w:pPr>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供应商自202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年1月以来具有类似项目业绩的，每提供一个得4分，最高得12分；（提供项目合同复印件盖供应商公章，合同时间以签订时间或合同中载明的履约时间为准）</w:t>
            </w:r>
          </w:p>
        </w:tc>
        <w:tc>
          <w:tcPr>
            <w:tcW w:w="1095" w:type="dxa"/>
            <w:vAlign w:val="center"/>
          </w:tcPr>
          <w:p w14:paraId="068218F1">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p>
        </w:tc>
      </w:tr>
    </w:tbl>
    <w:p w14:paraId="15ECFE3A">
      <w:pPr>
        <w:numPr>
          <w:ilvl w:val="0"/>
          <w:numId w:val="2"/>
        </w:numPr>
        <w:rPr>
          <w:rFonts w:hint="eastAsia"/>
          <w:b/>
          <w:bCs/>
          <w:sz w:val="24"/>
          <w:szCs w:val="24"/>
          <w:lang w:val="en-US" w:eastAsia="zh-CN"/>
        </w:rPr>
      </w:pPr>
      <w:r>
        <w:rPr>
          <w:rFonts w:hint="eastAsia"/>
          <w:b/>
          <w:bCs/>
          <w:sz w:val="24"/>
          <w:szCs w:val="24"/>
          <w:lang w:val="en-US" w:eastAsia="zh-CN"/>
        </w:rPr>
        <w:t>评分标准</w:t>
      </w:r>
    </w:p>
    <w:p w14:paraId="214F3623">
      <w:pPr>
        <w:pStyle w:val="2"/>
        <w:numPr>
          <w:ilvl w:val="0"/>
          <w:numId w:val="0"/>
        </w:numPr>
        <w:rPr>
          <w:rFonts w:hint="default"/>
          <w:lang w:val="en-US" w:eastAsia="zh-CN"/>
        </w:rPr>
      </w:pPr>
    </w:p>
    <w:sectPr>
      <w:footerReference r:id="rId3" w:type="default"/>
      <w:pgSz w:w="11906" w:h="16838"/>
      <w:pgMar w:top="2098" w:right="1474" w:bottom="1984" w:left="1587" w:header="851" w:footer="992" w:gutter="0"/>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3F21">
    <w:pPr>
      <w:pStyle w:val="4"/>
      <w:jc w:val="center"/>
    </w:pPr>
  </w:p>
  <w:p w14:paraId="5924A46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18343"/>
    <w:multiLevelType w:val="singleLevel"/>
    <w:tmpl w:val="9E418343"/>
    <w:lvl w:ilvl="0" w:tentative="0">
      <w:start w:val="11"/>
      <w:numFmt w:val="chineseCounting"/>
      <w:suff w:val="nothing"/>
      <w:lvlText w:val="%1、"/>
      <w:lvlJc w:val="left"/>
      <w:rPr>
        <w:rFonts w:hint="eastAsia"/>
      </w:rPr>
    </w:lvl>
  </w:abstractNum>
  <w:abstractNum w:abstractNumId="1">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C7"/>
    <w:rsid w:val="000C7D3B"/>
    <w:rsid w:val="000F723D"/>
    <w:rsid w:val="004970F6"/>
    <w:rsid w:val="009C21C7"/>
    <w:rsid w:val="00D93869"/>
    <w:rsid w:val="02014B89"/>
    <w:rsid w:val="04AD08B6"/>
    <w:rsid w:val="05B530FF"/>
    <w:rsid w:val="06EC78C7"/>
    <w:rsid w:val="06FD4909"/>
    <w:rsid w:val="07642984"/>
    <w:rsid w:val="080356AC"/>
    <w:rsid w:val="08A0179B"/>
    <w:rsid w:val="09E63C73"/>
    <w:rsid w:val="0A846734"/>
    <w:rsid w:val="0C323854"/>
    <w:rsid w:val="0C517B53"/>
    <w:rsid w:val="0EA60604"/>
    <w:rsid w:val="12637D43"/>
    <w:rsid w:val="12CC7571"/>
    <w:rsid w:val="162760E3"/>
    <w:rsid w:val="16C97AE4"/>
    <w:rsid w:val="18A2351F"/>
    <w:rsid w:val="18E8578D"/>
    <w:rsid w:val="1936679F"/>
    <w:rsid w:val="1A531556"/>
    <w:rsid w:val="1BD560F5"/>
    <w:rsid w:val="1BF804C0"/>
    <w:rsid w:val="1C3C29B3"/>
    <w:rsid w:val="1FCE1B49"/>
    <w:rsid w:val="224631EE"/>
    <w:rsid w:val="231E34BF"/>
    <w:rsid w:val="24AB5AB0"/>
    <w:rsid w:val="260B70DA"/>
    <w:rsid w:val="265C6C21"/>
    <w:rsid w:val="267732D7"/>
    <w:rsid w:val="289D7B31"/>
    <w:rsid w:val="2A254A07"/>
    <w:rsid w:val="2AB23F60"/>
    <w:rsid w:val="2B8F6EAA"/>
    <w:rsid w:val="2DB57B82"/>
    <w:rsid w:val="2EF074F4"/>
    <w:rsid w:val="2FDC1FA2"/>
    <w:rsid w:val="30DB6E95"/>
    <w:rsid w:val="319F4D44"/>
    <w:rsid w:val="32993E9B"/>
    <w:rsid w:val="32AD2978"/>
    <w:rsid w:val="33C62C90"/>
    <w:rsid w:val="37A730E6"/>
    <w:rsid w:val="389F4C4D"/>
    <w:rsid w:val="3BB13D42"/>
    <w:rsid w:val="3BE056E9"/>
    <w:rsid w:val="3C260E81"/>
    <w:rsid w:val="3C4979E8"/>
    <w:rsid w:val="3CF73642"/>
    <w:rsid w:val="3F457AB3"/>
    <w:rsid w:val="41E42D12"/>
    <w:rsid w:val="45AA473E"/>
    <w:rsid w:val="45DA76E8"/>
    <w:rsid w:val="47004863"/>
    <w:rsid w:val="47097D6B"/>
    <w:rsid w:val="47C57C74"/>
    <w:rsid w:val="48066F48"/>
    <w:rsid w:val="48C8421A"/>
    <w:rsid w:val="491560AA"/>
    <w:rsid w:val="497356BF"/>
    <w:rsid w:val="4A800E81"/>
    <w:rsid w:val="4B2F17EB"/>
    <w:rsid w:val="4B777BCD"/>
    <w:rsid w:val="4C5C4487"/>
    <w:rsid w:val="4C73035D"/>
    <w:rsid w:val="4C7672A0"/>
    <w:rsid w:val="4D455CA0"/>
    <w:rsid w:val="4DD12080"/>
    <w:rsid w:val="4F6F6839"/>
    <w:rsid w:val="518E5BDD"/>
    <w:rsid w:val="52394CDF"/>
    <w:rsid w:val="526B55F5"/>
    <w:rsid w:val="53687762"/>
    <w:rsid w:val="54061FE8"/>
    <w:rsid w:val="546753F7"/>
    <w:rsid w:val="56D46CE6"/>
    <w:rsid w:val="57CC626D"/>
    <w:rsid w:val="57F5124B"/>
    <w:rsid w:val="5B424900"/>
    <w:rsid w:val="5C5F6525"/>
    <w:rsid w:val="600E6CBD"/>
    <w:rsid w:val="607D5CD4"/>
    <w:rsid w:val="60E30AA4"/>
    <w:rsid w:val="61135EDE"/>
    <w:rsid w:val="62242FE2"/>
    <w:rsid w:val="623C406C"/>
    <w:rsid w:val="62BF515E"/>
    <w:rsid w:val="64C7229F"/>
    <w:rsid w:val="64DB2EC7"/>
    <w:rsid w:val="669F31E3"/>
    <w:rsid w:val="67AE43B1"/>
    <w:rsid w:val="68C36909"/>
    <w:rsid w:val="69C7718D"/>
    <w:rsid w:val="6A370C3A"/>
    <w:rsid w:val="6ADF7A66"/>
    <w:rsid w:val="6B1F196A"/>
    <w:rsid w:val="70DA3D87"/>
    <w:rsid w:val="712C0474"/>
    <w:rsid w:val="71F46113"/>
    <w:rsid w:val="724F41AA"/>
    <w:rsid w:val="72AD32DF"/>
    <w:rsid w:val="730B1F4C"/>
    <w:rsid w:val="73F65B3B"/>
    <w:rsid w:val="762D7A46"/>
    <w:rsid w:val="78F278F8"/>
    <w:rsid w:val="79B5085D"/>
    <w:rsid w:val="7A0D52B2"/>
    <w:rsid w:val="7A8D4A2D"/>
    <w:rsid w:val="7ABA0835"/>
    <w:rsid w:val="7AF53602"/>
    <w:rsid w:val="7C877A5E"/>
    <w:rsid w:val="7F8E4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toc 1"/>
    <w:basedOn w:val="1"/>
    <w:next w:val="1"/>
    <w:unhideWhenUsed/>
    <w:qFormat/>
    <w:uiPriority w:val="39"/>
    <w:pPr>
      <w:spacing w:before="120" w:after="120"/>
    </w:pPr>
    <w:rPr>
      <w:sz w:val="24"/>
    </w:rPr>
  </w:style>
  <w:style w:type="paragraph" w:styleId="6">
    <w:name w:val="toc 2"/>
    <w:basedOn w:val="1"/>
    <w:next w:val="1"/>
    <w:unhideWhenUsed/>
    <w:qFormat/>
    <w:uiPriority w:val="39"/>
    <w:pPr>
      <w:ind w:left="420" w:leftChars="200"/>
    </w:pPr>
  </w:style>
  <w:style w:type="paragraph" w:styleId="7">
    <w:name w:val="Normal (Web)"/>
    <w:basedOn w:val="1"/>
    <w:qFormat/>
    <w:uiPriority w:val="99"/>
    <w:pPr>
      <w:spacing w:before="100" w:after="100"/>
    </w:pPr>
    <w:rPr>
      <w:rFonts w:ascii="宋体" w:hAnsi="宋体" w:cs="宋体"/>
      <w:color w:val="000000"/>
      <w:sz w:val="18"/>
      <w:szCs w:val="18"/>
    </w:rPr>
  </w:style>
  <w:style w:type="paragraph" w:styleId="8">
    <w:name w:val="Body Text First Indent"/>
    <w:basedOn w:val="2"/>
    <w:next w:val="9"/>
    <w:qFormat/>
    <w:uiPriority w:val="0"/>
    <w:pPr>
      <w:ind w:firstLine="420" w:firstLineChars="100"/>
    </w:pPr>
  </w:style>
  <w:style w:type="paragraph" w:customStyle="1" w:styleId="9">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character" w:styleId="12">
    <w:name w:val="Emphasis"/>
    <w:qFormat/>
    <w:uiPriority w:val="20"/>
    <w:rPr>
      <w:i/>
      <w:iCs/>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character" w:customStyle="1" w:styleId="15">
    <w:name w:val="NormalCharacter1"/>
    <w:semiHidden/>
    <w:qFormat/>
    <w:uiPriority w:val="0"/>
  </w:style>
  <w:style w:type="paragraph" w:customStyle="1" w:styleId="16">
    <w:name w:val="列出段落1"/>
    <w:basedOn w:val="1"/>
    <w:qFormat/>
    <w:uiPriority w:val="99"/>
    <w:pPr>
      <w:ind w:firstLine="420" w:firstLineChars="200"/>
    </w:pPr>
  </w:style>
  <w:style w:type="paragraph" w:customStyle="1" w:styleId="17">
    <w:name w:val="正文 A"/>
    <w:next w:val="2"/>
    <w:qFormat/>
    <w:uiPriority w:val="0"/>
    <w:rPr>
      <w:rFonts w:hint="eastAsia" w:ascii="Arial Unicode MS" w:hAnsi="Arial Unicode MS" w:eastAsia="Times New Roman" w:cs="Arial Unicode MS"/>
      <w:color w:val="000000"/>
      <w:sz w:val="24"/>
      <w:szCs w:val="24"/>
      <w:lang w:val="en-US" w:eastAsia="zh-CN" w:bidi="ar-SA"/>
    </w:rPr>
  </w:style>
  <w:style w:type="paragraph" w:customStyle="1" w:styleId="18">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4444</Words>
  <Characters>5216</Characters>
  <Lines>27</Lines>
  <Paragraphs>7</Paragraphs>
  <TotalTime>4</TotalTime>
  <ScaleCrop>false</ScaleCrop>
  <LinksUpToDate>false</LinksUpToDate>
  <CharactersWithSpaces>5239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2024-01-16T16:08:00Z</dcterms:created>
  <dc:creator>中润信通电子工程</dc:creator>
  <cp:lastModifiedBy>WPS_911694258</cp:lastModifiedBy>
  <cp:lastPrinted>2026-04-13T07:47:00Z</cp:lastPrinted>
  <dcterms:modified xsi:type="dcterms:W3CDTF">2026-04-14T00:37:00Z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952035A5400441EB8A8AD15F48AE504C_13</vt:lpwstr>
  </property>
  <property fmtid="{D5CDD505-2E9C-101B-9397-08002B2CF9AE}" pid="4" name="KSOTemplateDocerSaveRecord">
    <vt:lpwstr>eyJoZGlkIjoiZWI2MGQyNzA1NzQ2MzllZmNjNzExNWJjOTc2OGJiYTIiLCJ1c2VySWQiOiI5MTE2OTQyNTgifQ==</vt:lpwstr>
  </property>
</Properties>
</file>