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5CC5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2"/>
          <w:szCs w:val="32"/>
          <w:vertAlign w:val="baseline"/>
          <w:lang w:val="en-US" w:eastAsia="zh-CN"/>
        </w:rPr>
      </w:pPr>
      <w:bookmarkStart w:id="1" w:name="_GoBack"/>
      <w:r>
        <w:rPr>
          <w:rFonts w:hint="eastAsia" w:ascii="宋体" w:hAnsi="宋体" w:eastAsia="宋体" w:cs="宋体"/>
          <w:b/>
          <w:bCs/>
          <w:sz w:val="32"/>
          <w:szCs w:val="32"/>
          <w:vertAlign w:val="baseline"/>
          <w:lang w:val="en-US" w:eastAsia="zh-CN"/>
        </w:rPr>
        <w:t>大邑县人民医院</w:t>
      </w:r>
    </w:p>
    <w:p w14:paraId="4452054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窗帘、隔帘等零星安装服务采购项目比选</w:t>
      </w:r>
      <w:r>
        <w:rPr>
          <w:rFonts w:hint="eastAsia" w:ascii="宋体" w:hAnsi="宋体" w:eastAsia="宋体" w:cs="宋体"/>
          <w:b/>
          <w:bCs/>
          <w:sz w:val="32"/>
          <w:szCs w:val="32"/>
          <w:vertAlign w:val="baseline"/>
          <w:lang w:eastAsia="zh-CN"/>
        </w:rPr>
        <w:t>文件</w:t>
      </w:r>
      <w:bookmarkEnd w:id="1"/>
    </w:p>
    <w:p w14:paraId="24FBCDDA">
      <w:pPr>
        <w:pStyle w:val="2"/>
        <w:rPr>
          <w:rFonts w:hint="eastAsia"/>
          <w:lang w:eastAsia="zh-CN"/>
        </w:rPr>
      </w:pPr>
    </w:p>
    <w:p w14:paraId="03AD3BC7">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b/>
          <w:bCs/>
          <w:sz w:val="24"/>
          <w:szCs w:val="24"/>
          <w:u w:val="single"/>
          <w:lang w:val="en-US" w:eastAsia="zh-CN"/>
        </w:rPr>
        <w:t>窗帘、隔帘等零星安装服务</w:t>
      </w:r>
      <w:r>
        <w:rPr>
          <w:rFonts w:hint="eastAsia" w:ascii="宋体" w:hAnsi="宋体" w:eastAsia="宋体" w:cs="宋体"/>
          <w:b/>
          <w:bCs/>
          <w:sz w:val="24"/>
          <w:szCs w:val="24"/>
          <w:u w:val="single"/>
        </w:rPr>
        <w:t>采购项目</w:t>
      </w:r>
    </w:p>
    <w:p w14:paraId="7409365D">
      <w:pPr>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二、项目预算：本项目采购预算为3.9万元/年，一采三年合同一年一签。</w:t>
      </w:r>
    </w:p>
    <w:p w14:paraId="666E0A9F">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8578" w:type="dxa"/>
        <w:tblInd w:w="0" w:type="dxa"/>
        <w:tblLayout w:type="fixed"/>
        <w:tblCellMar>
          <w:top w:w="0" w:type="dxa"/>
          <w:left w:w="108" w:type="dxa"/>
          <w:bottom w:w="0" w:type="dxa"/>
          <w:right w:w="108" w:type="dxa"/>
        </w:tblCellMar>
      </w:tblPr>
      <w:tblGrid>
        <w:gridCol w:w="793"/>
        <w:gridCol w:w="2231"/>
        <w:gridCol w:w="1549"/>
        <w:gridCol w:w="960"/>
        <w:gridCol w:w="1065"/>
        <w:gridCol w:w="1980"/>
      </w:tblGrid>
      <w:tr w14:paraId="5EC8C925">
        <w:tblPrEx>
          <w:tblCellMar>
            <w:top w:w="0" w:type="dxa"/>
            <w:left w:w="108" w:type="dxa"/>
            <w:bottom w:w="0" w:type="dxa"/>
            <w:right w:w="108" w:type="dxa"/>
          </w:tblCellMar>
        </w:tblPrEx>
        <w:trPr>
          <w:trHeight w:val="602"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57F8404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231" w:type="dxa"/>
            <w:tcBorders>
              <w:top w:val="single" w:color="auto" w:sz="4" w:space="0"/>
              <w:left w:val="nil"/>
              <w:bottom w:val="single" w:color="auto" w:sz="4" w:space="0"/>
              <w:right w:val="single" w:color="auto" w:sz="4" w:space="0"/>
            </w:tcBorders>
            <w:shd w:val="clear" w:color="000000" w:fill="FFFFFF"/>
            <w:vAlign w:val="center"/>
          </w:tcPr>
          <w:p w14:paraId="474428A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9" w:type="dxa"/>
            <w:tcBorders>
              <w:top w:val="single" w:color="auto" w:sz="4" w:space="0"/>
              <w:left w:val="nil"/>
              <w:bottom w:val="single" w:color="auto" w:sz="4" w:space="0"/>
              <w:right w:val="single" w:color="auto" w:sz="4" w:space="0"/>
            </w:tcBorders>
            <w:shd w:val="clear" w:color="000000" w:fill="FFFFFF"/>
            <w:vAlign w:val="center"/>
          </w:tcPr>
          <w:p w14:paraId="089F8BE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5B77C2E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4CF63C5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980" w:type="dxa"/>
            <w:tcBorders>
              <w:top w:val="single" w:color="auto" w:sz="4" w:space="0"/>
              <w:left w:val="nil"/>
              <w:bottom w:val="single" w:color="auto" w:sz="4" w:space="0"/>
              <w:right w:val="single" w:color="auto" w:sz="4" w:space="0"/>
            </w:tcBorders>
            <w:shd w:val="clear" w:color="000000" w:fill="FFFFFF"/>
            <w:vAlign w:val="center"/>
          </w:tcPr>
          <w:p w14:paraId="404DC8A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r>
      <w:tr w14:paraId="7261C906">
        <w:tblPrEx>
          <w:tblCellMar>
            <w:top w:w="0" w:type="dxa"/>
            <w:left w:w="108" w:type="dxa"/>
            <w:bottom w:w="0" w:type="dxa"/>
            <w:right w:w="108" w:type="dxa"/>
          </w:tblCellMar>
        </w:tblPrEx>
        <w:trPr>
          <w:trHeight w:val="557"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43FF91B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231" w:type="dxa"/>
            <w:tcBorders>
              <w:top w:val="single" w:color="auto" w:sz="4" w:space="0"/>
              <w:left w:val="nil"/>
              <w:bottom w:val="single" w:color="auto" w:sz="4" w:space="0"/>
              <w:right w:val="single" w:color="auto" w:sz="4" w:space="0"/>
            </w:tcBorders>
            <w:shd w:val="clear" w:color="000000" w:fill="FFFFFF"/>
            <w:vAlign w:val="center"/>
          </w:tcPr>
          <w:p w14:paraId="6A87486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窗帘-普通</w:t>
            </w:r>
          </w:p>
        </w:tc>
        <w:tc>
          <w:tcPr>
            <w:tcW w:w="1549" w:type="dxa"/>
            <w:tcBorders>
              <w:top w:val="single" w:color="auto" w:sz="4" w:space="0"/>
              <w:left w:val="nil"/>
              <w:bottom w:val="single" w:color="auto" w:sz="4" w:space="0"/>
              <w:right w:val="single" w:color="auto" w:sz="4" w:space="0"/>
            </w:tcBorders>
            <w:shd w:val="clear" w:color="000000" w:fill="FFFFFF"/>
            <w:vAlign w:val="center"/>
          </w:tcPr>
          <w:p w14:paraId="4DA2C7B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单面麻</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1D125D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nil"/>
              <w:bottom w:val="single" w:color="auto" w:sz="4" w:space="0"/>
              <w:right w:val="single" w:color="auto" w:sz="4" w:space="0"/>
            </w:tcBorders>
            <w:shd w:val="clear" w:color="000000" w:fill="FFFFFF"/>
            <w:vAlign w:val="center"/>
          </w:tcPr>
          <w:p w14:paraId="52F12B5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nil"/>
              <w:bottom w:val="single" w:color="auto" w:sz="4" w:space="0"/>
              <w:right w:val="single" w:color="auto" w:sz="4" w:space="0"/>
            </w:tcBorders>
            <w:shd w:val="clear" w:color="000000" w:fill="FFFFFF"/>
            <w:vAlign w:val="center"/>
          </w:tcPr>
          <w:p w14:paraId="52FACEB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72</w:t>
            </w:r>
          </w:p>
        </w:tc>
      </w:tr>
      <w:tr w14:paraId="22B601A0">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6F27F05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5E4DC03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窗帘-避光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17F645F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双面麻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B75E0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406FA1F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01FF32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98</w:t>
            </w:r>
          </w:p>
        </w:tc>
      </w:tr>
      <w:tr w14:paraId="72373B3F">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1C55482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12F9DE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轨道（直轨）</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3FB6D6B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铝合金</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39B2EB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0BA2361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5E3932A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r>
      <w:tr w14:paraId="5822223B">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02E834E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223875E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轨道（弯轨）</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7F0B061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铝合金</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7507767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541363A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6B1B6EE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39</w:t>
            </w:r>
          </w:p>
        </w:tc>
      </w:tr>
      <w:tr w14:paraId="1D549EEB">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3CCC0C6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78E4ADF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竖百叶窗帘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2A3C20B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16A6F94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60C8FD8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0C6A502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186</w:t>
            </w:r>
          </w:p>
        </w:tc>
      </w:tr>
      <w:tr w14:paraId="0456F513">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3620B91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0AD4124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横百叶窗帘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50A0CB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PVC高分子</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474EDFE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6C60A03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0105D45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123</w:t>
            </w:r>
          </w:p>
        </w:tc>
      </w:tr>
      <w:tr w14:paraId="267EE438">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733DED4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5FC0189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防火窗帘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46B02CE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B1阻燃材料</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1F3D68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13000D8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735C531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128</w:t>
            </w:r>
          </w:p>
        </w:tc>
      </w:tr>
      <w:tr w14:paraId="071693BA">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003CCAE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6C83714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隔断帘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77D316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涤伦麻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680C9A5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0AD050A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米</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2F26C5B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68</w:t>
            </w:r>
          </w:p>
        </w:tc>
      </w:tr>
      <w:tr w14:paraId="15CDB7C4">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69399E2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238681B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门帘（磁吸）</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16F8612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0D1F985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15D9A25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411F7FC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147</w:t>
            </w:r>
          </w:p>
        </w:tc>
      </w:tr>
      <w:tr w14:paraId="5F395F17">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694765D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6663331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门帘（普通）</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22F7E8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4A84417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0FB71C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126EC19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116</w:t>
            </w:r>
          </w:p>
        </w:tc>
      </w:tr>
      <w:tr w14:paraId="0148A046">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12D599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3A64FB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卷帘（半遮光）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4D95F3B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070331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75D61B8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7923398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71</w:t>
            </w:r>
          </w:p>
        </w:tc>
      </w:tr>
      <w:tr w14:paraId="259E2915">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312813D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0699E5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卷帘（全遮光）</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5C521A2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PVC亚麻</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7C20F74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53BBE05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361B711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87</w:t>
            </w:r>
          </w:p>
        </w:tc>
      </w:tr>
      <w:tr w14:paraId="362A27C1">
        <w:tblPrEx>
          <w:tblCellMar>
            <w:top w:w="0" w:type="dxa"/>
            <w:left w:w="108" w:type="dxa"/>
            <w:bottom w:w="0" w:type="dxa"/>
            <w:right w:w="108" w:type="dxa"/>
          </w:tblCellMar>
        </w:tblPrEx>
        <w:trPr>
          <w:trHeight w:val="715" w:hRule="atLeast"/>
        </w:trPr>
        <w:tc>
          <w:tcPr>
            <w:tcW w:w="793" w:type="dxa"/>
            <w:tcBorders>
              <w:top w:val="single" w:color="auto" w:sz="4" w:space="0"/>
              <w:left w:val="single" w:color="auto" w:sz="4" w:space="0"/>
              <w:bottom w:val="single" w:color="auto" w:sz="4" w:space="0"/>
              <w:right w:val="single" w:color="auto" w:sz="4" w:space="0"/>
            </w:tcBorders>
            <w:shd w:val="clear" w:color="000000" w:fill="FFFFFF"/>
            <w:vAlign w:val="center"/>
          </w:tcPr>
          <w:p w14:paraId="20FD9D6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231" w:type="dxa"/>
            <w:tcBorders>
              <w:top w:val="single" w:color="auto" w:sz="4" w:space="0"/>
              <w:left w:val="single" w:color="auto" w:sz="4" w:space="0"/>
              <w:bottom w:val="single" w:color="auto" w:sz="4" w:space="0"/>
              <w:right w:val="single" w:color="auto" w:sz="4" w:space="0"/>
            </w:tcBorders>
            <w:shd w:val="clear" w:color="000000" w:fill="FFFFFF"/>
            <w:vAlign w:val="center"/>
          </w:tcPr>
          <w:p w14:paraId="54CCCDD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防蚊门帘</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14:paraId="008D30C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网纱</w:t>
            </w:r>
          </w:p>
        </w:tc>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286D8F4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14:paraId="2CE3A95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平方</w:t>
            </w:r>
          </w:p>
        </w:tc>
        <w:tc>
          <w:tcPr>
            <w:tcW w:w="1980" w:type="dxa"/>
            <w:tcBorders>
              <w:top w:val="single" w:color="auto" w:sz="4" w:space="0"/>
              <w:left w:val="single" w:color="auto" w:sz="4" w:space="0"/>
              <w:bottom w:val="single" w:color="auto" w:sz="4" w:space="0"/>
              <w:right w:val="single" w:color="auto" w:sz="4" w:space="0"/>
            </w:tcBorders>
            <w:shd w:val="clear" w:color="000000" w:fill="FFFFFF"/>
            <w:vAlign w:val="center"/>
          </w:tcPr>
          <w:p w14:paraId="32DEDDB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r>
    </w:tbl>
    <w:p w14:paraId="6D11DE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0"/>
          <w:sz w:val="24"/>
          <w:lang w:val="en-US" w:eastAsia="zh-CN"/>
        </w:rPr>
      </w:pPr>
    </w:p>
    <w:p w14:paraId="2CAE93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0"/>
          <w:sz w:val="24"/>
          <w:lang w:val="en-US" w:eastAsia="zh-CN"/>
        </w:rPr>
      </w:pPr>
    </w:p>
    <w:p w14:paraId="7A07C01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b/>
          <w:sz w:val="24"/>
          <w:lang w:val="en-US" w:eastAsia="zh-CN"/>
        </w:rPr>
      </w:pPr>
      <w:bookmarkStart w:id="0" w:name="OLE_LINK1"/>
      <w:r>
        <w:rPr>
          <w:rFonts w:hint="eastAsia" w:ascii="宋体" w:hAnsi="宋体" w:eastAsia="宋体" w:cs="宋体"/>
          <w:kern w:val="0"/>
          <w:sz w:val="24"/>
          <w:lang w:val="en-US" w:eastAsia="zh-CN"/>
        </w:rPr>
        <w:t>★</w:t>
      </w:r>
      <w:bookmarkEnd w:id="0"/>
      <w:r>
        <w:rPr>
          <w:rFonts w:hint="eastAsia" w:ascii="宋体" w:hAnsi="宋体" w:eastAsia="宋体" w:cs="宋体"/>
          <w:b/>
          <w:sz w:val="24"/>
          <w:lang w:val="en-US" w:eastAsia="zh-CN"/>
        </w:rPr>
        <w:t>四、技术要求</w:t>
      </w:r>
    </w:p>
    <w:tbl>
      <w:tblPr>
        <w:tblStyle w:val="1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10"/>
        <w:gridCol w:w="2280"/>
        <w:gridCol w:w="3362"/>
      </w:tblGrid>
      <w:tr w14:paraId="35E9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4" w:type="dxa"/>
            <w:vAlign w:val="center"/>
          </w:tcPr>
          <w:p w14:paraId="136D356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990" w:type="dxa"/>
            <w:gridSpan w:val="2"/>
            <w:vAlign w:val="center"/>
          </w:tcPr>
          <w:p w14:paraId="1568499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项目</w:t>
            </w:r>
          </w:p>
        </w:tc>
        <w:tc>
          <w:tcPr>
            <w:tcW w:w="3362" w:type="dxa"/>
            <w:vAlign w:val="center"/>
          </w:tcPr>
          <w:p w14:paraId="61AD749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技术要求</w:t>
            </w:r>
          </w:p>
        </w:tc>
      </w:tr>
      <w:tr w14:paraId="10DB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046663D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990" w:type="dxa"/>
            <w:gridSpan w:val="2"/>
            <w:vAlign w:val="center"/>
          </w:tcPr>
          <w:p w14:paraId="340537E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甲醛</w:t>
            </w:r>
            <w:r>
              <w:rPr>
                <w:rFonts w:hint="eastAsia" w:ascii="宋体" w:hAnsi="宋体" w:eastAsia="宋体" w:cs="宋体"/>
                <w:sz w:val="24"/>
                <w:szCs w:val="24"/>
                <w:vertAlign w:val="baseline"/>
              </w:rPr>
              <w:t>含量</w:t>
            </w:r>
          </w:p>
        </w:tc>
        <w:tc>
          <w:tcPr>
            <w:tcW w:w="3362" w:type="dxa"/>
            <w:vAlign w:val="center"/>
          </w:tcPr>
          <w:p w14:paraId="451F38D2">
            <w:pPr>
              <w:pStyle w:val="14"/>
              <w:widowControl w:val="0"/>
              <w:ind w:firstLine="720" w:firstLineChars="300"/>
              <w:jc w:val="left"/>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≤300mg/kg</w:t>
            </w:r>
          </w:p>
        </w:tc>
      </w:tr>
      <w:tr w14:paraId="4EA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7BF2C8D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990" w:type="dxa"/>
            <w:gridSpan w:val="2"/>
            <w:vAlign w:val="center"/>
          </w:tcPr>
          <w:p w14:paraId="5988B2B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PH值</w:t>
            </w:r>
          </w:p>
        </w:tc>
        <w:tc>
          <w:tcPr>
            <w:tcW w:w="3362" w:type="dxa"/>
            <w:vAlign w:val="center"/>
          </w:tcPr>
          <w:p w14:paraId="0D3C0C80">
            <w:pPr>
              <w:keepNext w:val="0"/>
              <w:keepLines w:val="0"/>
              <w:pageBreakBefore w:val="0"/>
              <w:widowControl/>
              <w:kinsoku/>
              <w:wordWrap/>
              <w:overflowPunct/>
              <w:topLinePunct w:val="0"/>
              <w:autoSpaceDE/>
              <w:autoSpaceDN/>
              <w:bidi w:val="0"/>
              <w:adjustRightInd w:val="0"/>
              <w:snapToGrid w:val="0"/>
              <w:spacing w:after="0" w:line="400" w:lineRule="exact"/>
              <w:ind w:firstLine="277"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4.0－9.0</w:t>
            </w:r>
          </w:p>
        </w:tc>
      </w:tr>
      <w:tr w14:paraId="3A71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632799E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990" w:type="dxa"/>
            <w:gridSpan w:val="2"/>
            <w:vAlign w:val="center"/>
          </w:tcPr>
          <w:p w14:paraId="1F751496">
            <w:pPr>
              <w:keepNext w:val="0"/>
              <w:keepLines w:val="0"/>
              <w:pageBreakBefore w:val="0"/>
              <w:widowControl/>
              <w:kinsoku/>
              <w:wordWrap/>
              <w:overflowPunct/>
              <w:topLinePunct w:val="0"/>
              <w:autoSpaceDE/>
              <w:autoSpaceDN/>
              <w:bidi w:val="0"/>
              <w:adjustRightInd w:val="0"/>
              <w:snapToGrid w:val="0"/>
              <w:spacing w:after="0" w:line="400" w:lineRule="exact"/>
              <w:ind w:firstLine="226"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可分解致癌芳香胺</w:t>
            </w:r>
          </w:p>
          <w:p w14:paraId="19F0887E">
            <w:pPr>
              <w:keepNext w:val="0"/>
              <w:keepLines w:val="0"/>
              <w:pageBreakBefore w:val="0"/>
              <w:widowControl/>
              <w:kinsoku/>
              <w:wordWrap/>
              <w:overflowPunct/>
              <w:topLinePunct w:val="0"/>
              <w:autoSpaceDE/>
              <w:autoSpaceDN/>
              <w:bidi w:val="0"/>
              <w:adjustRightInd w:val="0"/>
              <w:snapToGrid w:val="0"/>
              <w:spacing w:after="0" w:line="400" w:lineRule="exact"/>
              <w:ind w:firstLine="226"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染料</w:t>
            </w:r>
          </w:p>
        </w:tc>
        <w:tc>
          <w:tcPr>
            <w:tcW w:w="3362" w:type="dxa"/>
            <w:vAlign w:val="center"/>
          </w:tcPr>
          <w:p w14:paraId="5662F83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禁用</w:t>
            </w:r>
          </w:p>
        </w:tc>
      </w:tr>
      <w:tr w14:paraId="4902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04" w:type="dxa"/>
            <w:vAlign w:val="center"/>
          </w:tcPr>
          <w:p w14:paraId="4709626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990" w:type="dxa"/>
            <w:gridSpan w:val="2"/>
            <w:vAlign w:val="center"/>
          </w:tcPr>
          <w:p w14:paraId="5D39709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可萃取铅含量</w:t>
            </w:r>
          </w:p>
        </w:tc>
        <w:tc>
          <w:tcPr>
            <w:tcW w:w="3362" w:type="dxa"/>
            <w:vAlign w:val="center"/>
          </w:tcPr>
          <w:p w14:paraId="5547674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≤1.0</w:t>
            </w:r>
          </w:p>
        </w:tc>
      </w:tr>
      <w:tr w14:paraId="018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4" w:type="dxa"/>
            <w:vAlign w:val="center"/>
          </w:tcPr>
          <w:p w14:paraId="4ABB3D5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990" w:type="dxa"/>
            <w:gridSpan w:val="2"/>
            <w:vAlign w:val="center"/>
          </w:tcPr>
          <w:p w14:paraId="3C1B49C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可萃取铬含量</w:t>
            </w:r>
          </w:p>
        </w:tc>
        <w:tc>
          <w:tcPr>
            <w:tcW w:w="3362" w:type="dxa"/>
            <w:vAlign w:val="center"/>
          </w:tcPr>
          <w:p w14:paraId="592503E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≤2.0</w:t>
            </w:r>
          </w:p>
        </w:tc>
      </w:tr>
      <w:tr w14:paraId="1C97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Merge w:val="restart"/>
            <w:vAlign w:val="center"/>
          </w:tcPr>
          <w:p w14:paraId="7C61F78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10" w:type="dxa"/>
            <w:vMerge w:val="restart"/>
            <w:vAlign w:val="center"/>
          </w:tcPr>
          <w:p w14:paraId="2776589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耐洗色牢度</w:t>
            </w:r>
          </w:p>
        </w:tc>
        <w:tc>
          <w:tcPr>
            <w:tcW w:w="2280" w:type="dxa"/>
            <w:vAlign w:val="center"/>
          </w:tcPr>
          <w:p w14:paraId="3A6746B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变色</w:t>
            </w:r>
          </w:p>
        </w:tc>
        <w:tc>
          <w:tcPr>
            <w:tcW w:w="3362" w:type="dxa"/>
            <w:vAlign w:val="center"/>
          </w:tcPr>
          <w:p w14:paraId="17C62F7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4</w:t>
            </w:r>
          </w:p>
        </w:tc>
      </w:tr>
      <w:tr w14:paraId="3F05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vAlign w:val="center"/>
          </w:tcPr>
          <w:p w14:paraId="4C662FF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710" w:type="dxa"/>
            <w:vMerge w:val="continue"/>
            <w:vAlign w:val="center"/>
          </w:tcPr>
          <w:p w14:paraId="562A873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p>
        </w:tc>
        <w:tc>
          <w:tcPr>
            <w:tcW w:w="2280" w:type="dxa"/>
            <w:vAlign w:val="center"/>
          </w:tcPr>
          <w:p w14:paraId="62FD128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沾色</w:t>
            </w:r>
          </w:p>
        </w:tc>
        <w:tc>
          <w:tcPr>
            <w:tcW w:w="3362" w:type="dxa"/>
            <w:vAlign w:val="center"/>
          </w:tcPr>
          <w:p w14:paraId="6CFB90C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4</w:t>
            </w:r>
          </w:p>
        </w:tc>
      </w:tr>
      <w:tr w14:paraId="486B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4" w:type="dxa"/>
            <w:vMerge w:val="restart"/>
            <w:vAlign w:val="center"/>
          </w:tcPr>
          <w:p w14:paraId="41A2AF1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710" w:type="dxa"/>
            <w:vMerge w:val="restart"/>
            <w:vAlign w:val="center"/>
          </w:tcPr>
          <w:p w14:paraId="348BECA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水洗尺寸变化率</w:t>
            </w:r>
          </w:p>
        </w:tc>
        <w:tc>
          <w:tcPr>
            <w:tcW w:w="2280" w:type="dxa"/>
            <w:vAlign w:val="center"/>
          </w:tcPr>
          <w:p w14:paraId="59ED59F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径向</w:t>
            </w:r>
          </w:p>
        </w:tc>
        <w:tc>
          <w:tcPr>
            <w:tcW w:w="3362" w:type="dxa"/>
            <w:vAlign w:val="center"/>
          </w:tcPr>
          <w:p w14:paraId="336031A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-4.0～+3.0</w:t>
            </w:r>
          </w:p>
        </w:tc>
      </w:tr>
      <w:tr w14:paraId="59AC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4" w:type="dxa"/>
            <w:vMerge w:val="continue"/>
            <w:vAlign w:val="center"/>
          </w:tcPr>
          <w:p w14:paraId="39FD038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1710" w:type="dxa"/>
            <w:vMerge w:val="continue"/>
            <w:vAlign w:val="center"/>
          </w:tcPr>
          <w:p w14:paraId="09F64C2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2280" w:type="dxa"/>
            <w:vAlign w:val="center"/>
          </w:tcPr>
          <w:p w14:paraId="6FEC33D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纬向</w:t>
            </w:r>
          </w:p>
        </w:tc>
        <w:tc>
          <w:tcPr>
            <w:tcW w:w="3362" w:type="dxa"/>
            <w:vAlign w:val="center"/>
          </w:tcPr>
          <w:p w14:paraId="38B18EC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-4.0～+3.0</w:t>
            </w:r>
          </w:p>
        </w:tc>
      </w:tr>
      <w:tr w14:paraId="54F5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04" w:type="dxa"/>
            <w:vMerge w:val="restart"/>
            <w:vAlign w:val="center"/>
          </w:tcPr>
          <w:p w14:paraId="07AD873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10" w:type="dxa"/>
            <w:vMerge w:val="restart"/>
            <w:vAlign w:val="center"/>
          </w:tcPr>
          <w:p w14:paraId="5D0ADAC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防紫外线</w:t>
            </w:r>
            <w:r>
              <w:rPr>
                <w:rFonts w:hint="eastAsia" w:ascii="宋体" w:hAnsi="宋体" w:eastAsia="宋体" w:cs="宋体"/>
                <w:sz w:val="24"/>
                <w:szCs w:val="24"/>
                <w:vertAlign w:val="baseline"/>
                <w:lang w:val="en-US" w:eastAsia="zh-CN"/>
              </w:rPr>
              <w:t>性能</w:t>
            </w:r>
          </w:p>
        </w:tc>
        <w:tc>
          <w:tcPr>
            <w:tcW w:w="2280" w:type="dxa"/>
            <w:vAlign w:val="center"/>
          </w:tcPr>
          <w:p w14:paraId="53E8C1A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UPF值</w:t>
            </w:r>
          </w:p>
        </w:tc>
        <w:tc>
          <w:tcPr>
            <w:tcW w:w="3362" w:type="dxa"/>
            <w:vAlign w:val="center"/>
          </w:tcPr>
          <w:p w14:paraId="53A9AD1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40</w:t>
            </w:r>
          </w:p>
        </w:tc>
      </w:tr>
      <w:tr w14:paraId="4BA8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04" w:type="dxa"/>
            <w:vMerge w:val="continue"/>
            <w:vAlign w:val="center"/>
          </w:tcPr>
          <w:p w14:paraId="3EDEDA5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1710" w:type="dxa"/>
            <w:vMerge w:val="continue"/>
            <w:vAlign w:val="center"/>
          </w:tcPr>
          <w:p w14:paraId="1CC3FD4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rPr>
            </w:pPr>
          </w:p>
        </w:tc>
        <w:tc>
          <w:tcPr>
            <w:tcW w:w="2280" w:type="dxa"/>
            <w:vAlign w:val="center"/>
          </w:tcPr>
          <w:p w14:paraId="64D11C5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T(UVA)</w:t>
            </w:r>
            <w:r>
              <w:rPr>
                <w:rFonts w:hint="eastAsia" w:ascii="宋体" w:hAnsi="宋体" w:eastAsia="宋体" w:cs="宋体"/>
                <w:sz w:val="24"/>
                <w:szCs w:val="24"/>
                <w:vertAlign w:val="subscript"/>
                <w:lang w:val="en-US" w:eastAsia="zh-CN"/>
              </w:rPr>
              <w:t>AV</w:t>
            </w:r>
            <w:r>
              <w:rPr>
                <w:rFonts w:hint="eastAsia" w:ascii="宋体" w:hAnsi="宋体" w:eastAsia="宋体" w:cs="宋体"/>
                <w:sz w:val="24"/>
                <w:szCs w:val="24"/>
                <w:vertAlign w:val="baseline"/>
                <w:lang w:val="en-US" w:eastAsia="zh-CN"/>
              </w:rPr>
              <w:t>(%)</w:t>
            </w:r>
          </w:p>
        </w:tc>
        <w:tc>
          <w:tcPr>
            <w:tcW w:w="3362" w:type="dxa"/>
            <w:vAlign w:val="center"/>
          </w:tcPr>
          <w:p w14:paraId="3ECC9A1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w:t>
            </w:r>
          </w:p>
        </w:tc>
      </w:tr>
      <w:tr w14:paraId="52F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4" w:type="dxa"/>
            <w:vAlign w:val="center"/>
          </w:tcPr>
          <w:p w14:paraId="7A4C678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990" w:type="dxa"/>
            <w:gridSpan w:val="2"/>
            <w:vAlign w:val="center"/>
          </w:tcPr>
          <w:p w14:paraId="5C9AD37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遮光率</w:t>
            </w:r>
          </w:p>
        </w:tc>
        <w:tc>
          <w:tcPr>
            <w:tcW w:w="3362" w:type="dxa"/>
            <w:vAlign w:val="center"/>
          </w:tcPr>
          <w:p w14:paraId="26A2D0A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≥99%</w:t>
            </w:r>
          </w:p>
        </w:tc>
      </w:tr>
      <w:tr w14:paraId="667A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32394C4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990" w:type="dxa"/>
            <w:gridSpan w:val="2"/>
            <w:vAlign w:val="center"/>
          </w:tcPr>
          <w:p w14:paraId="7B5074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轨道</w:t>
            </w:r>
          </w:p>
        </w:tc>
        <w:tc>
          <w:tcPr>
            <w:tcW w:w="3362" w:type="dxa"/>
            <w:vAlign w:val="center"/>
          </w:tcPr>
          <w:p w14:paraId="29684E0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铝合金静音轨道</w:t>
            </w:r>
          </w:p>
        </w:tc>
      </w:tr>
      <w:tr w14:paraId="50A1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419DD6B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990" w:type="dxa"/>
            <w:gridSpan w:val="2"/>
            <w:vAlign w:val="center"/>
          </w:tcPr>
          <w:p w14:paraId="0B5DDB3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隔音</w:t>
            </w:r>
          </w:p>
        </w:tc>
        <w:tc>
          <w:tcPr>
            <w:tcW w:w="3362" w:type="dxa"/>
            <w:vAlign w:val="center"/>
          </w:tcPr>
          <w:p w14:paraId="34064A8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30dB-40dB</w:t>
            </w:r>
          </w:p>
        </w:tc>
      </w:tr>
      <w:tr w14:paraId="7266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vAlign w:val="center"/>
          </w:tcPr>
          <w:p w14:paraId="5B98B64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990" w:type="dxa"/>
            <w:gridSpan w:val="2"/>
            <w:vAlign w:val="center"/>
          </w:tcPr>
          <w:p w14:paraId="09F1CC1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阻燃</w:t>
            </w:r>
          </w:p>
        </w:tc>
        <w:tc>
          <w:tcPr>
            <w:tcW w:w="3362" w:type="dxa"/>
            <w:vAlign w:val="center"/>
          </w:tcPr>
          <w:p w14:paraId="18821C4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vertAlign w:val="baseline"/>
                <w:lang w:val="en-US" w:eastAsia="zh-CN" w:bidi="ar-SA"/>
              </w:rPr>
              <w:t>阻燃性能B1级</w:t>
            </w:r>
          </w:p>
        </w:tc>
      </w:tr>
    </w:tbl>
    <w:p w14:paraId="1FAD754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b/>
          <w:bCs/>
          <w:sz w:val="24"/>
          <w:lang w:val="en-US" w:eastAsia="zh-CN"/>
        </w:rPr>
      </w:pPr>
    </w:p>
    <w:p w14:paraId="107CE4B1">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350264F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2D675DE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7E0B349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0AB2CC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0D84569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25DFB98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483C64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63BCD97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1FA4483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1F25C3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5E1BF531">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1C30A48C">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7230BD7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val="en-US" w:eastAsia="zh-CN"/>
        </w:rPr>
        <w:t>安装</w:t>
      </w:r>
      <w:r>
        <w:rPr>
          <w:rFonts w:hint="eastAsia" w:ascii="宋体" w:hAnsi="宋体" w:eastAsia="宋体" w:cs="宋体"/>
          <w:bCs/>
          <w:sz w:val="24"/>
          <w:szCs w:val="22"/>
        </w:rPr>
        <w:t>完成后，由</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提供</w:t>
      </w:r>
      <w:r>
        <w:rPr>
          <w:rFonts w:hint="eastAsia" w:ascii="宋体" w:hAnsi="宋体" w:eastAsia="宋体" w:cs="宋体"/>
          <w:bCs/>
          <w:sz w:val="24"/>
          <w:szCs w:val="22"/>
          <w:lang w:val="en-US" w:eastAsia="zh-CN"/>
        </w:rPr>
        <w:t>安装</w:t>
      </w:r>
      <w:r>
        <w:rPr>
          <w:rFonts w:hint="eastAsia" w:ascii="宋体" w:hAnsi="宋体" w:eastAsia="宋体" w:cs="宋体"/>
          <w:bCs/>
          <w:sz w:val="24"/>
          <w:szCs w:val="22"/>
        </w:rPr>
        <w:t>项目及费用清单，经</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审查无误后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将款</w:t>
      </w:r>
      <w:r>
        <w:rPr>
          <w:rFonts w:hint="eastAsia" w:ascii="宋体" w:hAnsi="宋体" w:eastAsia="宋体" w:cs="宋体"/>
          <w:bCs/>
          <w:sz w:val="24"/>
          <w:szCs w:val="22"/>
          <w:lang w:val="en-US" w:eastAsia="zh-CN"/>
        </w:rPr>
        <w:t>项据实</w:t>
      </w:r>
      <w:r>
        <w:rPr>
          <w:rFonts w:hint="eastAsia" w:ascii="宋体" w:hAnsi="宋体" w:eastAsia="宋体" w:cs="宋体"/>
          <w:bCs/>
          <w:sz w:val="24"/>
          <w:szCs w:val="22"/>
        </w:rPr>
        <w:t>支付给</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lang w:eastAsia="zh-CN"/>
        </w:rPr>
        <w:t>，</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14CCF9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安装调试：成交供应商负责</w:t>
      </w:r>
      <w:r>
        <w:rPr>
          <w:rFonts w:hint="eastAsia" w:ascii="宋体" w:hAnsi="宋体" w:eastAsia="宋体" w:cs="宋体"/>
          <w:sz w:val="24"/>
          <w:szCs w:val="24"/>
          <w:lang w:eastAsia="zh-CN"/>
        </w:rPr>
        <w:t>货物的运输、</w:t>
      </w:r>
      <w:r>
        <w:rPr>
          <w:rFonts w:hint="eastAsia" w:ascii="宋体" w:hAnsi="宋体" w:eastAsia="宋体" w:cs="宋体"/>
          <w:sz w:val="24"/>
          <w:szCs w:val="24"/>
        </w:rPr>
        <w:t>安装、调试</w:t>
      </w:r>
      <w:r>
        <w:rPr>
          <w:rFonts w:hint="eastAsia" w:ascii="宋体" w:hAnsi="宋体" w:eastAsia="宋体" w:cs="宋体"/>
          <w:sz w:val="24"/>
          <w:szCs w:val="24"/>
          <w:lang w:eastAsia="zh-CN"/>
        </w:rPr>
        <w:t>。</w:t>
      </w:r>
      <w:r>
        <w:rPr>
          <w:rFonts w:hint="eastAsia" w:ascii="宋体" w:hAnsi="宋体" w:eastAsia="宋体" w:cs="宋体"/>
          <w:sz w:val="24"/>
          <w:szCs w:val="24"/>
        </w:rPr>
        <w:t>货物到达现场后，成交供应商组织安装、调试</w:t>
      </w:r>
      <w:r>
        <w:rPr>
          <w:rFonts w:hint="eastAsia" w:ascii="宋体" w:hAnsi="宋体" w:eastAsia="宋体" w:cs="宋体"/>
          <w:sz w:val="24"/>
          <w:szCs w:val="24"/>
          <w:lang w:eastAsia="zh-CN"/>
        </w:rPr>
        <w:t>，</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运输及安装</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1BD82D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4.质量保修期：质保期两年，质保期内因产品质量问题</w:t>
      </w:r>
      <w:r>
        <w:rPr>
          <w:rFonts w:hint="eastAsia" w:ascii="宋体" w:hAnsi="宋体" w:eastAsia="宋体" w:cs="宋体"/>
          <w:sz w:val="24"/>
          <w:szCs w:val="24"/>
        </w:rPr>
        <w:t>成交供应商</w:t>
      </w:r>
      <w:r>
        <w:rPr>
          <w:rFonts w:hint="eastAsia" w:ascii="宋体" w:hAnsi="宋体" w:eastAsia="宋体" w:cs="宋体"/>
          <w:sz w:val="24"/>
          <w:szCs w:val="24"/>
          <w:lang w:val="en-US" w:eastAsia="zh-CN"/>
        </w:rPr>
        <w:t>将负责产品使用方面正常质量保证、维修及抢修。</w:t>
      </w:r>
    </w:p>
    <w:p w14:paraId="46C7043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成交供应商</w:t>
      </w:r>
      <w:r>
        <w:rPr>
          <w:rFonts w:hint="eastAsia" w:ascii="宋体" w:hAnsi="宋体" w:eastAsia="宋体" w:cs="宋体"/>
          <w:color w:val="auto"/>
          <w:sz w:val="24"/>
          <w:szCs w:val="24"/>
          <w:lang w:val="en-US" w:eastAsia="zh-CN"/>
        </w:rPr>
        <w:t>应保证提供的货物是全新、未使用过的原装合</w:t>
      </w:r>
      <w:r>
        <w:rPr>
          <w:rFonts w:hint="eastAsia" w:ascii="宋体" w:hAnsi="宋体" w:eastAsia="宋体" w:cs="宋体"/>
          <w:sz w:val="24"/>
          <w:szCs w:val="24"/>
          <w:lang w:val="en-US" w:eastAsia="zh-CN"/>
        </w:rPr>
        <w:t>格正品，并完全符合生产厂家或国家规定的质量、规格和性能的要求。</w:t>
      </w:r>
    </w:p>
    <w:p w14:paraId="021EBF39">
      <w:pPr>
        <w:pStyle w:val="2"/>
        <w:rPr>
          <w:rFonts w:hint="eastAsia" w:ascii="宋体" w:hAnsi="宋体" w:eastAsia="宋体" w:cs="宋体"/>
          <w:sz w:val="24"/>
          <w:szCs w:val="24"/>
          <w:lang w:val="en-US" w:eastAsia="zh-CN"/>
        </w:rPr>
      </w:pPr>
    </w:p>
    <w:p w14:paraId="4484FF09">
      <w:pPr>
        <w:rPr>
          <w:rFonts w:hint="eastAsia"/>
          <w:lang w:val="en-US" w:eastAsia="zh-CN"/>
        </w:rPr>
      </w:pPr>
    </w:p>
    <w:p w14:paraId="70C9F7A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备注：本章采购文件中标注“★”号的条款为本次采购项目的实质性要求，供应商应全部满足。</w:t>
      </w:r>
    </w:p>
    <w:p w14:paraId="40737D30">
      <w:pPr>
        <w:pStyle w:val="2"/>
        <w:rPr>
          <w:rFonts w:hint="eastAsia" w:ascii="宋体" w:hAnsi="宋体" w:eastAsia="宋体" w:cs="宋体"/>
          <w:sz w:val="24"/>
          <w:szCs w:val="24"/>
          <w:lang w:val="en-US" w:eastAsia="zh-CN"/>
        </w:rPr>
      </w:pPr>
    </w:p>
    <w:p w14:paraId="6B9AF58B">
      <w:pPr>
        <w:rPr>
          <w:rFonts w:hint="eastAsia"/>
          <w:lang w:val="en-US" w:eastAsia="zh-CN"/>
        </w:rPr>
      </w:pPr>
    </w:p>
    <w:p w14:paraId="3F502A88">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0D70DFA8">
      <w:pPr>
        <w:pStyle w:val="2"/>
        <w:rPr>
          <w:rFonts w:hint="eastAsia" w:ascii="宋体" w:hAnsi="宋体" w:eastAsia="宋体" w:cs="宋体"/>
          <w:b/>
          <w:bCs/>
          <w:sz w:val="24"/>
          <w:szCs w:val="24"/>
          <w:lang w:val="en-US" w:eastAsia="zh-CN"/>
        </w:rPr>
      </w:pPr>
    </w:p>
    <w:p w14:paraId="3A233D75">
      <w:pPr>
        <w:rPr>
          <w:rFonts w:hint="eastAsia" w:ascii="宋体" w:hAnsi="宋体" w:eastAsia="宋体" w:cs="宋体"/>
          <w:b/>
          <w:bCs/>
          <w:sz w:val="24"/>
          <w:szCs w:val="24"/>
          <w:lang w:val="en-US" w:eastAsia="zh-CN"/>
        </w:rPr>
      </w:pPr>
    </w:p>
    <w:p w14:paraId="7DC53BF5">
      <w:pPr>
        <w:pStyle w:val="2"/>
        <w:rPr>
          <w:rFonts w:hint="eastAsia"/>
          <w:lang w:val="en-US" w:eastAsia="zh-CN"/>
        </w:rPr>
      </w:pPr>
    </w:p>
    <w:p w14:paraId="0FE0D13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185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2" w:hRule="atLeast"/>
          <w:jc w:val="center"/>
        </w:trPr>
        <w:tc>
          <w:tcPr>
            <w:tcW w:w="795" w:type="dxa"/>
            <w:noWrap w:val="0"/>
            <w:vAlign w:val="center"/>
          </w:tcPr>
          <w:p w14:paraId="3410C30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4DB0891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7EBE9C9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7FEEE17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6E81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63" w:hRule="atLeast"/>
          <w:jc w:val="center"/>
        </w:trPr>
        <w:tc>
          <w:tcPr>
            <w:tcW w:w="795" w:type="dxa"/>
            <w:noWrap w:val="0"/>
            <w:vAlign w:val="center"/>
          </w:tcPr>
          <w:p w14:paraId="67BA725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45748A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2DA526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30分</w:t>
            </w:r>
          </w:p>
        </w:tc>
        <w:tc>
          <w:tcPr>
            <w:tcW w:w="6128" w:type="dxa"/>
            <w:noWrap w:val="0"/>
            <w:vAlign w:val="center"/>
          </w:tcPr>
          <w:p w14:paraId="051C2EA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报价为单价最高限价报统一下浮率。</w:t>
            </w:r>
          </w:p>
          <w:p w14:paraId="0172CC1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注：满足招标文件要求且投标价格最低的报价(即统一下浮率最高)为评标基准价，其价格分为满分。其他投标人的价格分统一按照下列公式计算:</w:t>
            </w:r>
          </w:p>
          <w:p w14:paraId="20178FB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投标报价得分=(1-评标基准价)/(1-报价)x30。</w:t>
            </w:r>
          </w:p>
        </w:tc>
      </w:tr>
      <w:tr w14:paraId="5A10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21" w:hRule="atLeast"/>
          <w:jc w:val="center"/>
        </w:trPr>
        <w:tc>
          <w:tcPr>
            <w:tcW w:w="795" w:type="dxa"/>
            <w:noWrap w:val="0"/>
            <w:vAlign w:val="center"/>
          </w:tcPr>
          <w:p w14:paraId="6949DF0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3FB1914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2C091C3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30分</w:t>
            </w:r>
          </w:p>
        </w:tc>
        <w:tc>
          <w:tcPr>
            <w:tcW w:w="6128" w:type="dxa"/>
            <w:noWrap w:val="0"/>
            <w:vAlign w:val="center"/>
          </w:tcPr>
          <w:p w14:paraId="57EA2C4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供应商根据本项目特点，提供实施方案至少包含：</w:t>
            </w:r>
            <w:r>
              <w:rPr>
                <w:rFonts w:hint="eastAsia" w:ascii="宋体" w:hAnsi="宋体" w:eastAsia="宋体" w:cs="宋体"/>
                <w:color w:val="auto"/>
                <w:kern w:val="0"/>
                <w:sz w:val="24"/>
                <w:szCs w:val="24"/>
                <w:lang w:val="en-US" w:eastAsia="zh-Hans"/>
              </w:rPr>
              <w:t>①备货方案；②服务流程；③产品质量保证措施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④安装措施；⑤安装人员的配置及职责分工；⑥安装调试的计划流程。</w:t>
            </w:r>
            <w:r>
              <w:rPr>
                <w:rFonts w:hint="eastAsia" w:ascii="宋体" w:hAnsi="宋体" w:eastAsia="宋体" w:cs="宋体"/>
                <w:color w:val="auto"/>
                <w:kern w:val="0"/>
                <w:sz w:val="24"/>
                <w:szCs w:val="24"/>
                <w:lang w:val="en-US" w:eastAsia="zh-CN"/>
              </w:rPr>
              <w:t>每具有一项得5分，最多得30分。</w:t>
            </w:r>
          </w:p>
          <w:p w14:paraId="08EA2C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中存在缺陷或漏洞（缺陷或漏洞是指：分析内容描述不清晰；凭空编造；阐述存在逻辑错误；涉及内容无重点，不能体现出本项目的特点；语言错误或存在歧义；与本项目实际需求不相符等)的，每有一处扣2.5分，直至本项扣完为止。</w:t>
            </w:r>
          </w:p>
        </w:tc>
      </w:tr>
      <w:tr w14:paraId="0433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78" w:hRule="atLeast"/>
          <w:jc w:val="center"/>
        </w:trPr>
        <w:tc>
          <w:tcPr>
            <w:tcW w:w="795" w:type="dxa"/>
            <w:noWrap w:val="0"/>
            <w:vAlign w:val="center"/>
          </w:tcPr>
          <w:p w14:paraId="5327BD6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56DD3A4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04A6A3D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20分</w:t>
            </w:r>
          </w:p>
        </w:tc>
        <w:tc>
          <w:tcPr>
            <w:tcW w:w="6128" w:type="dxa"/>
            <w:noWrap w:val="0"/>
            <w:vAlign w:val="center"/>
          </w:tcPr>
          <w:p w14:paraId="112B6D8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供应商需为本项目提供售后服务方案，方案包括：①售后服务人员配备及职责分工；②售后服务质量保障措施；③售后服务范围；④备品备件方案。</w:t>
            </w:r>
            <w:r>
              <w:rPr>
                <w:rFonts w:hint="eastAsia" w:ascii="宋体" w:hAnsi="宋体" w:eastAsia="宋体" w:cs="宋体"/>
                <w:color w:val="auto"/>
                <w:kern w:val="0"/>
                <w:sz w:val="24"/>
                <w:szCs w:val="24"/>
                <w:lang w:val="en-US" w:eastAsia="zh-CN"/>
              </w:rPr>
              <w:t>每具有一项得5分，最多得20分。</w:t>
            </w:r>
          </w:p>
          <w:p w14:paraId="23CF18C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方案合理，针对性强，逻辑条理清晰、内容详尽、完全满足项目要求的得20分，每有1项缺项扣5分，每有一项内容不详尽、内容粗略、对本项目针对性不强、方案有逻辑性问题的扣2.5分，直至本项扣完为止。</w:t>
            </w:r>
          </w:p>
        </w:tc>
      </w:tr>
      <w:tr w14:paraId="344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9" w:hRule="atLeast"/>
          <w:jc w:val="center"/>
        </w:trPr>
        <w:tc>
          <w:tcPr>
            <w:tcW w:w="795" w:type="dxa"/>
            <w:noWrap w:val="0"/>
            <w:vAlign w:val="center"/>
          </w:tcPr>
          <w:p w14:paraId="3D2835D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32A0238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履约能力</w:t>
            </w:r>
          </w:p>
        </w:tc>
        <w:tc>
          <w:tcPr>
            <w:tcW w:w="1080" w:type="dxa"/>
            <w:noWrap w:val="0"/>
            <w:vAlign w:val="center"/>
          </w:tcPr>
          <w:p w14:paraId="3FFACBC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1DC5D57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投标人提供的2023年1月至今类似业绩，每提供一个业绩证明得 2分，最高得10分。</w:t>
            </w:r>
          </w:p>
          <w:p w14:paraId="21ED3CE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注：提供合同扫描件（加盖投标人公章）。</w:t>
            </w:r>
          </w:p>
        </w:tc>
      </w:tr>
      <w:tr w14:paraId="198A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9" w:hRule="atLeast"/>
          <w:jc w:val="center"/>
        </w:trPr>
        <w:tc>
          <w:tcPr>
            <w:tcW w:w="795" w:type="dxa"/>
            <w:noWrap w:val="0"/>
            <w:vAlign w:val="center"/>
          </w:tcPr>
          <w:p w14:paraId="18F3C1B3">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w:t>
            </w:r>
          </w:p>
        </w:tc>
        <w:tc>
          <w:tcPr>
            <w:tcW w:w="1320" w:type="dxa"/>
            <w:noWrap w:val="0"/>
            <w:vAlign w:val="center"/>
          </w:tcPr>
          <w:p w14:paraId="5CD824C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20C79B1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0CE8CD0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遇紧急情况需现场响应，以接到院方电话至现场处理所需的时间计。（提供服务承诺函）</w:t>
            </w:r>
          </w:p>
          <w:p w14:paraId="44F2EE9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①服务响应时间≤30分钟得10分，②服务响应时间&gt;30分钟，≤1小时得7分，③服务响应时间&gt;1小时，≤2小时5分， ④服务响应时间&gt;2小时不得分。</w:t>
            </w:r>
          </w:p>
        </w:tc>
      </w:tr>
    </w:tbl>
    <w:p w14:paraId="1FDA60A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426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CE2FE">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79CE2FE">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D31D50"/>
    <w:rsid w:val="00DC5781"/>
    <w:rsid w:val="021516A5"/>
    <w:rsid w:val="0417329C"/>
    <w:rsid w:val="04945734"/>
    <w:rsid w:val="056D6E47"/>
    <w:rsid w:val="06786A3E"/>
    <w:rsid w:val="06BD65DA"/>
    <w:rsid w:val="079B60C5"/>
    <w:rsid w:val="07C14663"/>
    <w:rsid w:val="080A4C11"/>
    <w:rsid w:val="08955CC7"/>
    <w:rsid w:val="08A4624A"/>
    <w:rsid w:val="08B122D5"/>
    <w:rsid w:val="0901048B"/>
    <w:rsid w:val="090D23FF"/>
    <w:rsid w:val="092956CE"/>
    <w:rsid w:val="092A4F3A"/>
    <w:rsid w:val="09530849"/>
    <w:rsid w:val="09AE62F4"/>
    <w:rsid w:val="0A2E7329"/>
    <w:rsid w:val="0A621C82"/>
    <w:rsid w:val="0A6F3FD3"/>
    <w:rsid w:val="0B8C2409"/>
    <w:rsid w:val="0B90462A"/>
    <w:rsid w:val="0B93058C"/>
    <w:rsid w:val="0BA039D5"/>
    <w:rsid w:val="0CDF4B5B"/>
    <w:rsid w:val="0D7F34E3"/>
    <w:rsid w:val="0DBB7AE7"/>
    <w:rsid w:val="0E5F4E01"/>
    <w:rsid w:val="0EE631E2"/>
    <w:rsid w:val="0F8B73C0"/>
    <w:rsid w:val="0FD75850"/>
    <w:rsid w:val="10261BDE"/>
    <w:rsid w:val="107E269F"/>
    <w:rsid w:val="1090591F"/>
    <w:rsid w:val="10CB1583"/>
    <w:rsid w:val="10F0650D"/>
    <w:rsid w:val="11453C83"/>
    <w:rsid w:val="12684E77"/>
    <w:rsid w:val="12FD0B67"/>
    <w:rsid w:val="130D7106"/>
    <w:rsid w:val="13550A5B"/>
    <w:rsid w:val="14C21806"/>
    <w:rsid w:val="15872005"/>
    <w:rsid w:val="15A227A2"/>
    <w:rsid w:val="15E6145E"/>
    <w:rsid w:val="160C5ED0"/>
    <w:rsid w:val="1665032B"/>
    <w:rsid w:val="173A441D"/>
    <w:rsid w:val="190A7A32"/>
    <w:rsid w:val="19E347EF"/>
    <w:rsid w:val="19E97045"/>
    <w:rsid w:val="19F3629F"/>
    <w:rsid w:val="1A583AE3"/>
    <w:rsid w:val="1BB856C7"/>
    <w:rsid w:val="1BBD260B"/>
    <w:rsid w:val="1BF558A3"/>
    <w:rsid w:val="1C6F051E"/>
    <w:rsid w:val="1D7718CE"/>
    <w:rsid w:val="1EE57977"/>
    <w:rsid w:val="1F5A2C28"/>
    <w:rsid w:val="1FA26413"/>
    <w:rsid w:val="1FDC56A6"/>
    <w:rsid w:val="212B77D5"/>
    <w:rsid w:val="219A3DC7"/>
    <w:rsid w:val="22270513"/>
    <w:rsid w:val="22335E5D"/>
    <w:rsid w:val="225F5A5E"/>
    <w:rsid w:val="22C3542A"/>
    <w:rsid w:val="22E916AC"/>
    <w:rsid w:val="242E418A"/>
    <w:rsid w:val="24F20082"/>
    <w:rsid w:val="25714C8B"/>
    <w:rsid w:val="2630111A"/>
    <w:rsid w:val="263E7561"/>
    <w:rsid w:val="265867F4"/>
    <w:rsid w:val="26A2676C"/>
    <w:rsid w:val="2712692B"/>
    <w:rsid w:val="273C4DA6"/>
    <w:rsid w:val="280E60D5"/>
    <w:rsid w:val="28783286"/>
    <w:rsid w:val="289C4569"/>
    <w:rsid w:val="28C332B8"/>
    <w:rsid w:val="2BBA320E"/>
    <w:rsid w:val="2C410023"/>
    <w:rsid w:val="2CB85548"/>
    <w:rsid w:val="2D0F5755"/>
    <w:rsid w:val="2D5E6308"/>
    <w:rsid w:val="2DDC6980"/>
    <w:rsid w:val="2E1364F0"/>
    <w:rsid w:val="2E351C66"/>
    <w:rsid w:val="2F0B55F7"/>
    <w:rsid w:val="2F0E2C00"/>
    <w:rsid w:val="2F3B6D5A"/>
    <w:rsid w:val="2F6947E2"/>
    <w:rsid w:val="2F847CA8"/>
    <w:rsid w:val="2FB3176C"/>
    <w:rsid w:val="2FE41812"/>
    <w:rsid w:val="311364BA"/>
    <w:rsid w:val="31190FA9"/>
    <w:rsid w:val="313501CA"/>
    <w:rsid w:val="31AB554A"/>
    <w:rsid w:val="321662B1"/>
    <w:rsid w:val="32C9341A"/>
    <w:rsid w:val="333211B8"/>
    <w:rsid w:val="34F74E35"/>
    <w:rsid w:val="35654540"/>
    <w:rsid w:val="35955A82"/>
    <w:rsid w:val="36616728"/>
    <w:rsid w:val="36742041"/>
    <w:rsid w:val="368643CC"/>
    <w:rsid w:val="373E11A0"/>
    <w:rsid w:val="377E67E5"/>
    <w:rsid w:val="37A22840"/>
    <w:rsid w:val="38645721"/>
    <w:rsid w:val="388451E2"/>
    <w:rsid w:val="389C4706"/>
    <w:rsid w:val="38C17FE3"/>
    <w:rsid w:val="38F401FF"/>
    <w:rsid w:val="396E4F55"/>
    <w:rsid w:val="398038C3"/>
    <w:rsid w:val="399E78AC"/>
    <w:rsid w:val="39A17949"/>
    <w:rsid w:val="3A2931B0"/>
    <w:rsid w:val="3ACD2F84"/>
    <w:rsid w:val="3AE7182B"/>
    <w:rsid w:val="3AFE0BC3"/>
    <w:rsid w:val="3B3D76DD"/>
    <w:rsid w:val="3BC45328"/>
    <w:rsid w:val="3BE54EA1"/>
    <w:rsid w:val="3DA03702"/>
    <w:rsid w:val="3E277B0B"/>
    <w:rsid w:val="3E595263"/>
    <w:rsid w:val="3E6E069F"/>
    <w:rsid w:val="3E8C2A3B"/>
    <w:rsid w:val="3F274A8A"/>
    <w:rsid w:val="3F5C0FD3"/>
    <w:rsid w:val="40B9121F"/>
    <w:rsid w:val="42B07649"/>
    <w:rsid w:val="433D1D1E"/>
    <w:rsid w:val="442554C0"/>
    <w:rsid w:val="45C24F72"/>
    <w:rsid w:val="45DF556B"/>
    <w:rsid w:val="46AE261E"/>
    <w:rsid w:val="481734F9"/>
    <w:rsid w:val="486328DC"/>
    <w:rsid w:val="490B5C70"/>
    <w:rsid w:val="4925522C"/>
    <w:rsid w:val="49591AD0"/>
    <w:rsid w:val="4A1F0985"/>
    <w:rsid w:val="4A650358"/>
    <w:rsid w:val="4AF43C89"/>
    <w:rsid w:val="4B2E539F"/>
    <w:rsid w:val="4B8436AC"/>
    <w:rsid w:val="4B9425F5"/>
    <w:rsid w:val="4BA335AF"/>
    <w:rsid w:val="4BEB58D7"/>
    <w:rsid w:val="4C0809AB"/>
    <w:rsid w:val="4D1C410B"/>
    <w:rsid w:val="4D354244"/>
    <w:rsid w:val="4EAA7AD3"/>
    <w:rsid w:val="4EC56BAF"/>
    <w:rsid w:val="4EEC269E"/>
    <w:rsid w:val="4F0056F6"/>
    <w:rsid w:val="4F345D0C"/>
    <w:rsid w:val="506C74D1"/>
    <w:rsid w:val="50D4117E"/>
    <w:rsid w:val="51043EC0"/>
    <w:rsid w:val="51216EEC"/>
    <w:rsid w:val="512331A2"/>
    <w:rsid w:val="513554D1"/>
    <w:rsid w:val="513C5E30"/>
    <w:rsid w:val="5271399A"/>
    <w:rsid w:val="528B6069"/>
    <w:rsid w:val="52DF7207"/>
    <w:rsid w:val="537A378B"/>
    <w:rsid w:val="53A95A46"/>
    <w:rsid w:val="53AC12DB"/>
    <w:rsid w:val="541371A6"/>
    <w:rsid w:val="544C29A3"/>
    <w:rsid w:val="55375941"/>
    <w:rsid w:val="559A2AA4"/>
    <w:rsid w:val="566937B9"/>
    <w:rsid w:val="576D52B4"/>
    <w:rsid w:val="57C524CD"/>
    <w:rsid w:val="582D12ED"/>
    <w:rsid w:val="59956DB7"/>
    <w:rsid w:val="59C65A1B"/>
    <w:rsid w:val="5A8C3B8F"/>
    <w:rsid w:val="5B7C273E"/>
    <w:rsid w:val="5CAE5EDF"/>
    <w:rsid w:val="5CB63EB6"/>
    <w:rsid w:val="5CF722FD"/>
    <w:rsid w:val="5D6A14CE"/>
    <w:rsid w:val="5DBD5D29"/>
    <w:rsid w:val="5DBF2A2A"/>
    <w:rsid w:val="5DE44CF5"/>
    <w:rsid w:val="5E791C95"/>
    <w:rsid w:val="5EA66F97"/>
    <w:rsid w:val="5ECD70DE"/>
    <w:rsid w:val="5F98766C"/>
    <w:rsid w:val="610138D7"/>
    <w:rsid w:val="61032959"/>
    <w:rsid w:val="61271B65"/>
    <w:rsid w:val="613F7485"/>
    <w:rsid w:val="620F05C1"/>
    <w:rsid w:val="623F5FB6"/>
    <w:rsid w:val="62BC7372"/>
    <w:rsid w:val="62CA77CE"/>
    <w:rsid w:val="6326497F"/>
    <w:rsid w:val="634C27BB"/>
    <w:rsid w:val="639A6186"/>
    <w:rsid w:val="63FB264E"/>
    <w:rsid w:val="64E73AB9"/>
    <w:rsid w:val="64F4112F"/>
    <w:rsid w:val="65AB07A2"/>
    <w:rsid w:val="668E728D"/>
    <w:rsid w:val="66CC2299"/>
    <w:rsid w:val="66FF40B7"/>
    <w:rsid w:val="67CC1E24"/>
    <w:rsid w:val="67E72AB0"/>
    <w:rsid w:val="68155795"/>
    <w:rsid w:val="682567EB"/>
    <w:rsid w:val="69DF2131"/>
    <w:rsid w:val="6A154812"/>
    <w:rsid w:val="6B7B482E"/>
    <w:rsid w:val="6BF77602"/>
    <w:rsid w:val="6C564D84"/>
    <w:rsid w:val="6CD31485"/>
    <w:rsid w:val="6D431A70"/>
    <w:rsid w:val="6D655BCB"/>
    <w:rsid w:val="6D856832"/>
    <w:rsid w:val="6D8B7DF4"/>
    <w:rsid w:val="6DB62387"/>
    <w:rsid w:val="6E2455A9"/>
    <w:rsid w:val="6ECD4AB5"/>
    <w:rsid w:val="6FFD50BD"/>
    <w:rsid w:val="70336FAC"/>
    <w:rsid w:val="70627E2F"/>
    <w:rsid w:val="70D20B5B"/>
    <w:rsid w:val="71906080"/>
    <w:rsid w:val="72A75115"/>
    <w:rsid w:val="72E74E88"/>
    <w:rsid w:val="73722A02"/>
    <w:rsid w:val="73D9354B"/>
    <w:rsid w:val="74321829"/>
    <w:rsid w:val="747334C7"/>
    <w:rsid w:val="75594A37"/>
    <w:rsid w:val="75A27392"/>
    <w:rsid w:val="75BD2C10"/>
    <w:rsid w:val="761128FF"/>
    <w:rsid w:val="76B946BB"/>
    <w:rsid w:val="76EE1771"/>
    <w:rsid w:val="77A56E63"/>
    <w:rsid w:val="77D9515B"/>
    <w:rsid w:val="78253E58"/>
    <w:rsid w:val="790441FA"/>
    <w:rsid w:val="79A612CD"/>
    <w:rsid w:val="7A440E3A"/>
    <w:rsid w:val="7AA43AB3"/>
    <w:rsid w:val="7AB435A5"/>
    <w:rsid w:val="7C083390"/>
    <w:rsid w:val="7E46423F"/>
    <w:rsid w:val="7E7D69CA"/>
    <w:rsid w:val="7E972C2F"/>
    <w:rsid w:val="7E9E4F9D"/>
    <w:rsid w:val="7EA93DDB"/>
    <w:rsid w:val="7EF53C16"/>
    <w:rsid w:val="7FA761FA"/>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1794</Words>
  <Characters>1936</Characters>
  <Lines>1</Lines>
  <Paragraphs>1</Paragraphs>
  <TotalTime>16</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dcterms:modified xsi:type="dcterms:W3CDTF">2026-04-09T00:40:35Z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A64A442E980745028D63E4DE11222B78_13</vt:lpwstr>
  </property>
</Properties>
</file>