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bookmarkStart w:id="0" w:name="OLE_LINK2"/>
      <w:r>
        <w:rPr>
          <w:rFonts w:hint="eastAsia" w:ascii="方正小标宋简体" w:hAnsi="方正小标宋简体" w:eastAsia="方正小标宋简体" w:cs="方正小标宋简体"/>
          <w:sz w:val="44"/>
          <w:szCs w:val="44"/>
          <w:lang w:eastAsia="zh-CN"/>
        </w:rPr>
        <w:t>大邑县人民医院</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2026年医疗责任保险采购需求</w:t>
      </w:r>
    </w:p>
    <w:p>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一、医疗责任险采购内容及要求</w:t>
      </w:r>
    </w:p>
    <w:p>
      <w:pPr>
        <w:numPr>
          <w:ilvl w:val="0"/>
          <w:numId w:val="1"/>
        </w:numPr>
        <w:jc w:val="both"/>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项目概况</w:t>
      </w:r>
    </w:p>
    <w:p>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大邑县</w:t>
      </w:r>
      <w:r>
        <w:rPr>
          <w:rFonts w:hint="eastAsia" w:ascii="仿宋" w:hAnsi="仿宋" w:eastAsia="仿宋" w:cs="仿宋"/>
          <w:color w:val="auto"/>
          <w:sz w:val="32"/>
          <w:szCs w:val="32"/>
        </w:rPr>
        <w:t>人民医院是一所集医、教、研为一体的三级乙等综合医院，编制床位</w:t>
      </w:r>
      <w:r>
        <w:rPr>
          <w:rFonts w:hint="eastAsia" w:ascii="仿宋" w:hAnsi="仿宋" w:eastAsia="仿宋" w:cs="仿宋"/>
          <w:color w:val="auto"/>
          <w:sz w:val="32"/>
          <w:szCs w:val="32"/>
          <w:lang w:val="en-US" w:eastAsia="zh-CN"/>
        </w:rPr>
        <w:t>650</w:t>
      </w:r>
      <w:r>
        <w:rPr>
          <w:rFonts w:hint="eastAsia" w:ascii="仿宋" w:hAnsi="仿宋" w:eastAsia="仿宋" w:cs="仿宋"/>
          <w:color w:val="auto"/>
          <w:sz w:val="32"/>
          <w:szCs w:val="32"/>
        </w:rPr>
        <w:t>张，开放床位</w:t>
      </w:r>
      <w:r>
        <w:rPr>
          <w:rFonts w:hint="eastAsia" w:ascii="仿宋" w:hAnsi="仿宋" w:eastAsia="仿宋" w:cs="仿宋"/>
          <w:color w:val="auto"/>
          <w:sz w:val="32"/>
          <w:szCs w:val="32"/>
          <w:lang w:val="en-US" w:eastAsia="zh-CN"/>
        </w:rPr>
        <w:t>820</w:t>
      </w:r>
      <w:r>
        <w:rPr>
          <w:rFonts w:hint="eastAsia" w:ascii="仿宋" w:hAnsi="仿宋" w:eastAsia="仿宋" w:cs="仿宋"/>
          <w:color w:val="auto"/>
          <w:sz w:val="32"/>
          <w:szCs w:val="32"/>
        </w:rPr>
        <w:t>张。年门诊人次</w:t>
      </w:r>
      <w:r>
        <w:rPr>
          <w:rFonts w:hint="eastAsia" w:ascii="仿宋" w:hAnsi="仿宋" w:eastAsia="仿宋" w:cs="仿宋"/>
          <w:color w:val="auto"/>
          <w:sz w:val="32"/>
          <w:szCs w:val="32"/>
          <w:lang w:val="en-US" w:eastAsia="zh-CN"/>
        </w:rPr>
        <w:t>56.6</w:t>
      </w:r>
      <w:r>
        <w:rPr>
          <w:rFonts w:hint="eastAsia" w:ascii="仿宋" w:hAnsi="仿宋" w:eastAsia="仿宋" w:cs="仿宋"/>
          <w:color w:val="auto"/>
          <w:sz w:val="32"/>
          <w:szCs w:val="32"/>
        </w:rPr>
        <w:t>万人次，年出院人次</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万人次，年住院手术人次</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万人次。现拟采购</w:t>
      </w:r>
      <w:r>
        <w:rPr>
          <w:rFonts w:hint="eastAsia" w:ascii="仿宋" w:hAnsi="仿宋" w:eastAsia="仿宋" w:cs="仿宋"/>
          <w:color w:val="auto"/>
          <w:sz w:val="32"/>
          <w:szCs w:val="32"/>
          <w:lang w:val="en-US" w:eastAsia="zh-CN"/>
        </w:rPr>
        <w:t>2026年</w:t>
      </w:r>
      <w:r>
        <w:rPr>
          <w:rFonts w:hint="eastAsia" w:ascii="仿宋" w:hAnsi="仿宋" w:eastAsia="仿宋" w:cs="仿宋"/>
          <w:color w:val="auto"/>
          <w:sz w:val="32"/>
          <w:szCs w:val="32"/>
        </w:rPr>
        <w:t>医疗责任保险。</w:t>
      </w:r>
    </w:p>
    <w:p>
      <w:pPr>
        <w:numPr>
          <w:ilvl w:val="0"/>
          <w:numId w:val="1"/>
        </w:numPr>
        <w:jc w:val="both"/>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采购内容</w:t>
      </w:r>
    </w:p>
    <w:tbl>
      <w:tblPr>
        <w:tblStyle w:val="9"/>
        <w:tblW w:w="8399" w:type="dxa"/>
        <w:tblInd w:w="-40"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2711"/>
        <w:gridCol w:w="5688"/>
      </w:tblGrid>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Ex>
        <w:trPr>
          <w:trHeight w:val="729" w:hRule="atLeast"/>
        </w:trPr>
        <w:tc>
          <w:tcPr>
            <w:tcW w:w="2711" w:type="dxa"/>
            <w:tcBorders>
              <w:bottom w:val="single" w:color="333333" w:sz="6" w:space="0"/>
            </w:tcBorders>
            <w:vAlign w:val="top"/>
          </w:tcPr>
          <w:p>
            <w:pPr>
              <w:bidi w:val="0"/>
              <w:ind w:left="-17" w:leftChars="-8" w:firstLine="19" w:firstLineChars="6"/>
              <w:rPr>
                <w:rFonts w:hint="eastAsia" w:ascii="仿宋" w:hAnsi="仿宋" w:eastAsia="仿宋" w:cs="仿宋"/>
                <w:color w:val="auto"/>
                <w:sz w:val="32"/>
                <w:szCs w:val="32"/>
              </w:rPr>
            </w:pPr>
            <w:r>
              <w:rPr>
                <w:rFonts w:hint="eastAsia" w:ascii="仿宋" w:hAnsi="仿宋" w:eastAsia="仿宋" w:cs="仿宋"/>
                <w:color w:val="auto"/>
                <w:sz w:val="32"/>
                <w:szCs w:val="32"/>
              </w:rPr>
              <w:t>采购品目</w:t>
            </w:r>
          </w:p>
        </w:tc>
        <w:tc>
          <w:tcPr>
            <w:tcW w:w="5688" w:type="dxa"/>
            <w:tcBorders>
              <w:bottom w:val="single" w:color="333333" w:sz="6" w:space="0"/>
            </w:tcBorders>
            <w:vAlign w:val="top"/>
          </w:tcPr>
          <w:p>
            <w:pPr>
              <w:bidi w:val="0"/>
              <w:ind w:left="216" w:leftChars="103" w:firstLine="3" w:firstLineChars="0"/>
              <w:rPr>
                <w:rFonts w:hint="eastAsia" w:ascii="仿宋" w:hAnsi="仿宋" w:eastAsia="仿宋" w:cs="仿宋"/>
                <w:color w:val="auto"/>
                <w:sz w:val="32"/>
                <w:szCs w:val="32"/>
              </w:rPr>
            </w:pPr>
            <w:r>
              <w:rPr>
                <w:rFonts w:hint="eastAsia" w:ascii="仿宋" w:hAnsi="仿宋" w:eastAsia="仿宋" w:cs="仿宋"/>
                <w:color w:val="auto"/>
                <w:sz w:val="32"/>
                <w:szCs w:val="32"/>
              </w:rPr>
              <w:t>其他</w:t>
            </w:r>
            <w:r>
              <w:rPr>
                <w:rFonts w:hint="eastAsia" w:ascii="仿宋" w:hAnsi="仿宋" w:eastAsia="仿宋" w:cs="仿宋"/>
                <w:color w:val="auto"/>
                <w:sz w:val="32"/>
                <w:szCs w:val="32"/>
                <w:lang w:eastAsia="zh-CN"/>
              </w:rPr>
              <w:t>商业</w:t>
            </w:r>
            <w:r>
              <w:rPr>
                <w:rFonts w:hint="eastAsia" w:ascii="仿宋" w:hAnsi="仿宋" w:eastAsia="仿宋" w:cs="仿宋"/>
                <w:color w:val="auto"/>
                <w:sz w:val="32"/>
                <w:szCs w:val="32"/>
              </w:rPr>
              <w:t>保险服务</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Ex>
        <w:trPr>
          <w:trHeight w:val="711" w:hRule="atLeast"/>
        </w:trPr>
        <w:tc>
          <w:tcPr>
            <w:tcW w:w="2711" w:type="dxa"/>
            <w:tcBorders>
              <w:top w:val="single" w:color="333333" w:sz="6" w:space="0"/>
              <w:bottom w:val="single" w:color="333333" w:sz="6" w:space="0"/>
            </w:tcBorders>
            <w:vAlign w:val="top"/>
          </w:tcPr>
          <w:p>
            <w:pPr>
              <w:bidi w:val="0"/>
              <w:ind w:left="-17" w:leftChars="-8" w:firstLine="19" w:firstLineChars="6"/>
              <w:rPr>
                <w:rFonts w:hint="eastAsia" w:ascii="仿宋" w:hAnsi="仿宋" w:eastAsia="仿宋" w:cs="仿宋"/>
                <w:color w:val="auto"/>
                <w:sz w:val="32"/>
                <w:szCs w:val="32"/>
              </w:rPr>
            </w:pPr>
            <w:r>
              <w:rPr>
                <w:rFonts w:hint="eastAsia" w:ascii="仿宋" w:hAnsi="仿宋" w:eastAsia="仿宋" w:cs="仿宋"/>
                <w:color w:val="auto"/>
                <w:sz w:val="32"/>
                <w:szCs w:val="32"/>
              </w:rPr>
              <w:t>标的名称</w:t>
            </w:r>
          </w:p>
        </w:tc>
        <w:tc>
          <w:tcPr>
            <w:tcW w:w="5688" w:type="dxa"/>
            <w:tcBorders>
              <w:top w:val="single" w:color="333333" w:sz="6" w:space="0"/>
              <w:bottom w:val="single" w:color="333333" w:sz="6" w:space="0"/>
            </w:tcBorders>
            <w:vAlign w:val="top"/>
          </w:tcPr>
          <w:p>
            <w:pPr>
              <w:bidi w:val="0"/>
              <w:ind w:left="0" w:leftChars="0"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医疗责任险</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Ex>
        <w:trPr>
          <w:trHeight w:val="726" w:hRule="atLeast"/>
        </w:trPr>
        <w:tc>
          <w:tcPr>
            <w:tcW w:w="2711" w:type="dxa"/>
            <w:tcBorders>
              <w:top w:val="single" w:color="333333" w:sz="6" w:space="0"/>
              <w:bottom w:val="single" w:color="333333" w:sz="6" w:space="0"/>
            </w:tcBorders>
            <w:vAlign w:val="top"/>
          </w:tcPr>
          <w:p>
            <w:pPr>
              <w:bidi w:val="0"/>
              <w:ind w:left="-17" w:leftChars="-8" w:firstLine="19" w:firstLineChars="6"/>
              <w:rPr>
                <w:rFonts w:hint="eastAsia" w:ascii="仿宋" w:hAnsi="仿宋" w:eastAsia="仿宋" w:cs="仿宋"/>
                <w:color w:val="auto"/>
                <w:sz w:val="32"/>
                <w:szCs w:val="32"/>
              </w:rPr>
            </w:pPr>
            <w:r>
              <w:rPr>
                <w:rFonts w:hint="eastAsia" w:ascii="仿宋" w:hAnsi="仿宋" w:eastAsia="仿宋" w:cs="仿宋"/>
                <w:color w:val="auto"/>
                <w:sz w:val="32"/>
                <w:szCs w:val="32"/>
              </w:rPr>
              <w:t>数量</w:t>
            </w:r>
          </w:p>
        </w:tc>
        <w:tc>
          <w:tcPr>
            <w:tcW w:w="5688" w:type="dxa"/>
            <w:tcBorders>
              <w:top w:val="single" w:color="333333" w:sz="6" w:space="0"/>
              <w:bottom w:val="single" w:color="333333" w:sz="6" w:space="0"/>
            </w:tcBorders>
            <w:vAlign w:val="top"/>
          </w:tcPr>
          <w:p>
            <w:pPr>
              <w:bidi w:val="0"/>
              <w:ind w:left="0" w:leftChars="0"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1.00</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Ex>
        <w:trPr>
          <w:trHeight w:val="726" w:hRule="atLeast"/>
        </w:trPr>
        <w:tc>
          <w:tcPr>
            <w:tcW w:w="2711" w:type="dxa"/>
            <w:tcBorders>
              <w:top w:val="single" w:color="333333" w:sz="6" w:space="0"/>
              <w:bottom w:val="single" w:color="333333" w:sz="6" w:space="0"/>
            </w:tcBorders>
            <w:vAlign w:val="top"/>
          </w:tcPr>
          <w:p>
            <w:pPr>
              <w:bidi w:val="0"/>
              <w:ind w:left="-17" w:leftChars="-8" w:firstLine="19" w:firstLineChars="6"/>
              <w:rPr>
                <w:rFonts w:hint="eastAsia" w:ascii="仿宋" w:hAnsi="仿宋" w:eastAsia="仿宋" w:cs="仿宋"/>
                <w:color w:val="auto"/>
                <w:sz w:val="32"/>
                <w:szCs w:val="32"/>
              </w:rPr>
            </w:pPr>
            <w:r>
              <w:rPr>
                <w:rFonts w:hint="eastAsia" w:ascii="仿宋" w:hAnsi="仿宋" w:eastAsia="仿宋" w:cs="仿宋"/>
                <w:color w:val="auto"/>
                <w:sz w:val="32"/>
                <w:szCs w:val="32"/>
              </w:rPr>
              <w:t>单位</w:t>
            </w:r>
          </w:p>
        </w:tc>
        <w:tc>
          <w:tcPr>
            <w:tcW w:w="5688" w:type="dxa"/>
            <w:tcBorders>
              <w:top w:val="single" w:color="333333" w:sz="6" w:space="0"/>
              <w:bottom w:val="single" w:color="333333" w:sz="6" w:space="0"/>
            </w:tcBorders>
            <w:vAlign w:val="top"/>
          </w:tcPr>
          <w:p>
            <w:pPr>
              <w:bidi w:val="0"/>
              <w:ind w:left="0" w:leftChars="0" w:firstLine="0" w:firstLine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套</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Ex>
        <w:trPr>
          <w:trHeight w:val="726" w:hRule="atLeast"/>
        </w:trPr>
        <w:tc>
          <w:tcPr>
            <w:tcW w:w="2711" w:type="dxa"/>
            <w:tcBorders>
              <w:top w:val="single" w:color="333333" w:sz="6" w:space="0"/>
              <w:bottom w:val="single" w:color="333333" w:sz="6" w:space="0"/>
            </w:tcBorders>
            <w:vAlign w:val="center"/>
          </w:tcPr>
          <w:p>
            <w:pPr>
              <w:bidi w:val="0"/>
              <w:ind w:left="-17" w:leftChars="-8" w:firstLine="19" w:firstLineChars="6"/>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拟投保床位</w:t>
            </w:r>
          </w:p>
        </w:tc>
        <w:tc>
          <w:tcPr>
            <w:tcW w:w="5688" w:type="dxa"/>
            <w:tcBorders>
              <w:top w:val="single" w:color="333333" w:sz="6" w:space="0"/>
              <w:bottom w:val="single" w:color="333333" w:sz="6" w:space="0"/>
            </w:tcBorders>
            <w:vAlign w:val="center"/>
          </w:tcPr>
          <w:p>
            <w:pPr>
              <w:bidi w:val="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650张</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Ex>
        <w:trPr>
          <w:trHeight w:val="804" w:hRule="atLeast"/>
        </w:trPr>
        <w:tc>
          <w:tcPr>
            <w:tcW w:w="2711" w:type="dxa"/>
            <w:tcBorders>
              <w:top w:val="single" w:color="333333" w:sz="6" w:space="0"/>
              <w:bottom w:val="single" w:color="333333" w:sz="6" w:space="0"/>
            </w:tcBorders>
            <w:vAlign w:val="center"/>
          </w:tcPr>
          <w:p>
            <w:pPr>
              <w:bidi w:val="0"/>
              <w:ind w:left="-17" w:leftChars="-8" w:firstLine="19" w:firstLineChars="6"/>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拟投保医务人员</w:t>
            </w:r>
          </w:p>
        </w:tc>
        <w:tc>
          <w:tcPr>
            <w:tcW w:w="5688" w:type="dxa"/>
            <w:tcBorders>
              <w:top w:val="single" w:color="333333" w:sz="6" w:space="0"/>
              <w:bottom w:val="single" w:color="333333" w:sz="6" w:space="0"/>
            </w:tcBorders>
            <w:vAlign w:val="center"/>
          </w:tcPr>
          <w:p>
            <w:pPr>
              <w:bidi w:val="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600人</w:t>
            </w:r>
          </w:p>
        </w:tc>
      </w:tr>
    </w:tbl>
    <w:p>
      <w:pPr>
        <w:numPr>
          <w:ilvl w:val="0"/>
          <w:numId w:val="0"/>
        </w:numPr>
        <w:jc w:val="both"/>
        <w:rPr>
          <w:rFonts w:hint="eastAsia" w:ascii="楷体" w:hAnsi="楷体" w:eastAsia="楷体" w:cs="楷体"/>
          <w:sz w:val="32"/>
          <w:szCs w:val="40"/>
          <w:lang w:val="en-US" w:eastAsia="zh-CN"/>
        </w:rPr>
      </w:pPr>
    </w:p>
    <w:p>
      <w:pPr>
        <w:numPr>
          <w:ilvl w:val="0"/>
          <w:numId w:val="1"/>
        </w:numPr>
        <w:jc w:val="both"/>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采购项目技术参数和性能指标</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967"/>
        <w:gridCol w:w="6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1" w:type="dxa"/>
          </w:tcPr>
          <w:p>
            <w:pPr>
              <w:numPr>
                <w:ilvl w:val="0"/>
                <w:numId w:val="0"/>
              </w:numPr>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参数性质</w:t>
            </w:r>
          </w:p>
        </w:tc>
        <w:tc>
          <w:tcPr>
            <w:tcW w:w="967" w:type="dxa"/>
          </w:tcPr>
          <w:p>
            <w:pPr>
              <w:numPr>
                <w:ilvl w:val="0"/>
                <w:numId w:val="0"/>
              </w:numPr>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序号</w:t>
            </w:r>
          </w:p>
        </w:tc>
        <w:tc>
          <w:tcPr>
            <w:tcW w:w="6634" w:type="dxa"/>
          </w:tcPr>
          <w:p>
            <w:pPr>
              <w:numPr>
                <w:ilvl w:val="0"/>
                <w:numId w:val="0"/>
              </w:numPr>
              <w:jc w:val="both"/>
              <w:rPr>
                <w:rFonts w:hint="eastAsia" w:ascii="仿宋" w:hAnsi="仿宋" w:eastAsia="仿宋" w:cs="仿宋"/>
                <w:sz w:val="32"/>
                <w:szCs w:val="32"/>
                <w:vertAlign w:val="baseline"/>
                <w:lang w:val="en-US" w:eastAsia="zh-CN"/>
              </w:rPr>
            </w:pPr>
            <w:r>
              <w:rPr>
                <w:rFonts w:hint="eastAsia" w:ascii="仿宋" w:hAnsi="仿宋" w:eastAsia="仿宋" w:cs="仿宋"/>
                <w:color w:val="auto"/>
                <w:sz w:val="32"/>
                <w:szCs w:val="32"/>
              </w:rPr>
              <w:t>技术参数与性能指标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1" w:type="dxa"/>
          </w:tcPr>
          <w:p>
            <w:pPr>
              <w:numPr>
                <w:ilvl w:val="0"/>
                <w:numId w:val="0"/>
              </w:numPr>
              <w:jc w:val="both"/>
              <w:rPr>
                <w:rFonts w:hint="eastAsia" w:ascii="仿宋" w:hAnsi="仿宋" w:eastAsia="仿宋" w:cs="仿宋"/>
                <w:sz w:val="32"/>
                <w:szCs w:val="32"/>
                <w:vertAlign w:val="baseline"/>
                <w:lang w:val="en-US" w:eastAsia="zh-CN"/>
              </w:rPr>
            </w:pPr>
          </w:p>
        </w:tc>
        <w:tc>
          <w:tcPr>
            <w:tcW w:w="967" w:type="dxa"/>
          </w:tcPr>
          <w:p>
            <w:pPr>
              <w:numPr>
                <w:ilvl w:val="0"/>
                <w:numId w:val="0"/>
              </w:numPr>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6634" w:type="dxa"/>
          </w:tcPr>
          <w:p>
            <w:pPr>
              <w:keepNext w:val="0"/>
              <w:keepLines w:val="0"/>
              <w:pageBreakBefore w:val="0"/>
              <w:widowControl w:val="0"/>
              <w:numPr>
                <w:ilvl w:val="0"/>
                <w:numId w:val="2"/>
              </w:numPr>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服务内容：</w:t>
            </w:r>
          </w:p>
          <w:p>
            <w:pPr>
              <w:bidi w:val="0"/>
              <w:spacing w:line="360" w:lineRule="auto"/>
              <w:rPr>
                <w:rFonts w:hint="eastAsia" w:ascii="仿宋" w:hAnsi="仿宋" w:eastAsia="仿宋" w:cs="仿宋"/>
                <w:color w:val="auto"/>
                <w:sz w:val="32"/>
                <w:szCs w:val="32"/>
                <w:lang w:eastAsia="zh-CN"/>
              </w:rPr>
            </w:pPr>
            <w:r>
              <w:rPr>
                <w:rFonts w:hint="eastAsia" w:ascii="仿宋" w:hAnsi="仿宋" w:eastAsia="仿宋" w:cs="仿宋"/>
                <w:b w:val="0"/>
                <w:bCs w:val="0"/>
                <w:color w:val="auto"/>
                <w:sz w:val="32"/>
                <w:szCs w:val="32"/>
                <w:highlight w:val="none"/>
                <w:lang w:val="en-US" w:eastAsia="zh-CN"/>
              </w:rPr>
              <w:t>1、拟投标床位：650张；拟投保医务人员：6</w:t>
            </w:r>
            <w:bookmarkStart w:id="2" w:name="_GoBack"/>
            <w:bookmarkEnd w:id="2"/>
            <w:r>
              <w:rPr>
                <w:rFonts w:hint="eastAsia" w:ascii="仿宋" w:hAnsi="仿宋" w:eastAsia="仿宋" w:cs="仿宋"/>
                <w:b w:val="0"/>
                <w:bCs w:val="0"/>
                <w:color w:val="auto"/>
                <w:sz w:val="32"/>
                <w:szCs w:val="32"/>
                <w:highlight w:val="none"/>
                <w:lang w:val="en-US" w:eastAsia="zh-CN"/>
              </w:rPr>
              <w:t>00人。</w:t>
            </w:r>
          </w:p>
          <w:p>
            <w:pPr>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医疗责任险保险范围：</w:t>
            </w:r>
            <w:r>
              <w:rPr>
                <w:rFonts w:hint="eastAsia" w:ascii="仿宋" w:hAnsi="仿宋" w:eastAsia="仿宋" w:cs="仿宋"/>
                <w:sz w:val="32"/>
                <w:szCs w:val="32"/>
                <w:lang w:val="en-US" w:eastAsia="zh-CN"/>
              </w:rPr>
              <w:t>（1）采购人所有从事临床、医技医务人员，开展医疗诊疗工作中，因医疗责任性或技术性事故、医疗差错及医疗意外，发生的医疗纠纷责任赔偿；（2）患者在采购人处就诊（门诊、住院）请上级医院专家来院会诊、指导手术发生的医疗纠纷责任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责任限额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医疗责任：</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每次责任事故赔付限额</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0万元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（2）年度累计医疗责任保险赔付限额</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200万元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法律费用：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（1）法律费用每次索赔赔偿限额</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2万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（2）法律费用累计赔偿限额</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20万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、其他附加服务项目</w:t>
            </w:r>
          </w:p>
          <w:p>
            <w:pPr>
              <w:pStyle w:val="4"/>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仿宋"/>
                <w:sz w:val="32"/>
                <w:szCs w:val="32"/>
                <w:lang w:val="en-US" w:eastAsia="zh-CN"/>
              </w:rPr>
              <w:t>非医责险的其他涉医保险项目：医疗机构场所责任险。每人赔偿限额≤20万，每次事故限额≤20万，全年最高限额≤200万。</w:t>
            </w:r>
          </w:p>
          <w:p>
            <w:pPr>
              <w:pStyle w:val="4"/>
              <w:spacing w:line="360" w:lineRule="auto"/>
              <w:rPr>
                <w:rFonts w:hint="eastAsia" w:ascii="仿宋" w:hAnsi="仿宋" w:eastAsia="仿宋" w:cs="仿宋"/>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仿宋"/>
                <w:sz w:val="32"/>
                <w:szCs w:val="32"/>
                <w:lang w:val="en-US" w:eastAsia="zh-CN"/>
              </w:rPr>
              <w:t>因设施设备对在医疗机构经营场所内的人员造成人身损害给予赔偿的，每人赔偿限额≤20万，每次事故限额≤20万，全年最高限额≤200万。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1" w:type="dxa"/>
          </w:tcPr>
          <w:p>
            <w:pPr>
              <w:numPr>
                <w:ilvl w:val="0"/>
                <w:numId w:val="0"/>
              </w:numPr>
              <w:jc w:val="both"/>
              <w:rPr>
                <w:rFonts w:hint="eastAsia" w:ascii="仿宋" w:hAnsi="仿宋" w:eastAsia="仿宋" w:cs="仿宋"/>
                <w:sz w:val="32"/>
                <w:szCs w:val="32"/>
                <w:vertAlign w:val="baseline"/>
                <w:lang w:val="en-US" w:eastAsia="zh-CN"/>
              </w:rPr>
            </w:pPr>
          </w:p>
        </w:tc>
        <w:tc>
          <w:tcPr>
            <w:tcW w:w="967" w:type="dxa"/>
          </w:tcPr>
          <w:p>
            <w:pPr>
              <w:numPr>
                <w:ilvl w:val="0"/>
                <w:numId w:val="0"/>
              </w:numPr>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6634"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服务要求</w:t>
            </w:r>
          </w:p>
          <w:p>
            <w:pPr>
              <w:pStyle w:val="4"/>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1.甲方发生医疗纠纷，按照《四川省医疗纠纷预防和处置办法》和患者协商处理，或由卫生主管部门进行调解处理。在收到被保险人理赔单，索赔资料齐全的情形下：赔付金额≤1万，1个工作日</w:t>
            </w:r>
            <w:r>
              <w:rPr>
                <w:rFonts w:hint="eastAsia" w:ascii="仿宋" w:hAnsi="仿宋" w:eastAsia="仿宋" w:cs="仿宋"/>
                <w:color w:val="auto"/>
                <w:sz w:val="32"/>
                <w:szCs w:val="32"/>
                <w:highlight w:val="none"/>
                <w:lang w:val="en-US" w:eastAsia="zh-CN"/>
              </w:rPr>
              <w:t>内</w:t>
            </w:r>
            <w:r>
              <w:rPr>
                <w:rFonts w:hint="eastAsia" w:ascii="仿宋" w:hAnsi="仿宋" w:eastAsia="仿宋" w:cs="仿宋"/>
                <w:color w:val="auto"/>
                <w:sz w:val="32"/>
                <w:szCs w:val="32"/>
                <w:lang w:val="en-US" w:eastAsia="zh-CN"/>
              </w:rPr>
              <w:t>赔付；1万＜赔付金额≤10万，4个工作日</w:t>
            </w:r>
            <w:r>
              <w:rPr>
                <w:rFonts w:hint="eastAsia" w:ascii="仿宋" w:hAnsi="仿宋" w:eastAsia="仿宋" w:cs="仿宋"/>
                <w:color w:val="auto"/>
                <w:sz w:val="32"/>
                <w:szCs w:val="32"/>
                <w:highlight w:val="none"/>
                <w:lang w:val="en-US" w:eastAsia="zh-CN"/>
              </w:rPr>
              <w:t>内</w:t>
            </w:r>
            <w:r>
              <w:rPr>
                <w:rFonts w:hint="eastAsia" w:ascii="仿宋" w:hAnsi="仿宋" w:eastAsia="仿宋" w:cs="仿宋"/>
                <w:sz w:val="32"/>
                <w:szCs w:val="32"/>
                <w:lang w:val="en-US" w:eastAsia="zh-CN"/>
              </w:rPr>
              <w:t>赔付；10万＜赔付金额≤100万,7个工作日内赔付；赔付金额＞100万，10</w:t>
            </w:r>
            <w:r>
              <w:rPr>
                <w:rFonts w:hint="eastAsia" w:ascii="仿宋" w:hAnsi="仿宋" w:eastAsia="仿宋" w:cs="仿宋"/>
                <w:sz w:val="32"/>
                <w:szCs w:val="32"/>
                <w:highlight w:val="none"/>
                <w:lang w:val="en-US" w:eastAsia="zh-CN"/>
              </w:rPr>
              <w:t>个工作日</w:t>
            </w:r>
            <w:r>
              <w:rPr>
                <w:rFonts w:hint="eastAsia" w:ascii="仿宋" w:hAnsi="仿宋" w:eastAsia="仿宋" w:cs="仿宋"/>
                <w:sz w:val="32"/>
                <w:szCs w:val="32"/>
                <w:lang w:val="en-US" w:eastAsia="zh-CN"/>
              </w:rPr>
              <w:t>内完成赔款支付。</w:t>
            </w:r>
          </w:p>
          <w:p>
            <w:pPr>
              <w:pStyle w:val="11"/>
              <w:widowControl w:val="0"/>
              <w:ind w:firstLine="585"/>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2.针对本项目成立专门项目服务小组，项目小组应设置专人负责被保险人办理承保、理赔相关手续，保证获得优先服务的权利。</w:t>
            </w:r>
            <w:r>
              <w:rPr>
                <w:rFonts w:hint="eastAsia" w:ascii="仿宋" w:hAnsi="仿宋" w:eastAsia="仿宋" w:cs="仿宋"/>
                <w:b w:val="0"/>
                <w:bCs w:val="0"/>
                <w:color w:val="000000" w:themeColor="text1"/>
                <w:sz w:val="32"/>
                <w:szCs w:val="32"/>
                <w:lang w:val="en-US" w:eastAsia="zh-CN"/>
                <w14:textFill>
                  <w14:solidFill>
                    <w14:schemeClr w14:val="tx1"/>
                  </w14:solidFill>
                </w14:textFill>
              </w:rPr>
              <w:t>设立全年法定工作日早8点—下午17:30咨询服务电话。</w:t>
            </w:r>
          </w:p>
          <w:p>
            <w:pPr>
              <w:pStyle w:val="4"/>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3.出险后，及时安排人员参与案件，提供现场服务，追踪定损，协助和指导投保人理赔。</w:t>
            </w:r>
          </w:p>
          <w:p>
            <w:pPr>
              <w:pStyle w:val="11"/>
              <w:widowControl w:val="0"/>
              <w:ind w:firstLine="585"/>
              <w:jc w:val="both"/>
              <w:rPr>
                <w:rFonts w:hint="eastAsia" w:ascii="仿宋" w:hAnsi="仿宋" w:eastAsia="仿宋" w:cs="仿宋"/>
                <w:color w:val="FF0000"/>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b w:val="0"/>
                <w:bCs w:val="0"/>
                <w:color w:val="000000" w:themeColor="text1"/>
                <w:sz w:val="32"/>
                <w:szCs w:val="32"/>
                <w14:textFill>
                  <w14:solidFill>
                    <w14:schemeClr w14:val="tx1"/>
                  </w14:solidFill>
                </w14:textFill>
              </w:rPr>
              <w:t>每</w:t>
            </w:r>
            <w:r>
              <w:rPr>
                <w:rFonts w:hint="eastAsia" w:ascii="仿宋" w:hAnsi="仿宋" w:eastAsia="仿宋" w:cs="仿宋"/>
                <w:b w:val="0"/>
                <w:bCs w:val="0"/>
                <w:color w:val="000000" w:themeColor="text1"/>
                <w:sz w:val="32"/>
                <w:szCs w:val="32"/>
                <w:lang w:val="en-US" w:eastAsia="zh-CN"/>
                <w14:textFill>
                  <w14:solidFill>
                    <w14:schemeClr w14:val="tx1"/>
                  </w14:solidFill>
                </w14:textFill>
              </w:rPr>
              <w:t>半年</w:t>
            </w:r>
            <w:r>
              <w:rPr>
                <w:rFonts w:hint="eastAsia" w:ascii="仿宋" w:hAnsi="仿宋" w:eastAsia="仿宋" w:cs="仿宋"/>
                <w:b w:val="0"/>
                <w:bCs w:val="0"/>
                <w:color w:val="000000" w:themeColor="text1"/>
                <w:sz w:val="32"/>
                <w:szCs w:val="32"/>
                <w14:textFill>
                  <w14:solidFill>
                    <w14:schemeClr w14:val="tx1"/>
                  </w14:solidFill>
                </w14:textFill>
              </w:rPr>
              <w:t>向医院提供接报案清单、赔付案件情况等理赔信息。</w:t>
            </w:r>
          </w:p>
          <w:p>
            <w:pPr>
              <w:pStyle w:val="4"/>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5.理赔以下列方式之一确定的医院赔偿责任为基础：</w:t>
            </w:r>
          </w:p>
          <w:p>
            <w:pPr>
              <w:pStyle w:val="4"/>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（1）人民调解委员会调解；</w:t>
            </w:r>
          </w:p>
          <w:p>
            <w:pPr>
              <w:pStyle w:val="4"/>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（2）行政调解；</w:t>
            </w:r>
          </w:p>
          <w:p>
            <w:pPr>
              <w:pStyle w:val="4"/>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（3）人民法院调解或判决；</w:t>
            </w:r>
          </w:p>
          <w:p>
            <w:pPr>
              <w:pStyle w:val="4"/>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（4）医院与患方达成的和解协议；</w:t>
            </w:r>
          </w:p>
          <w:p>
            <w:pPr>
              <w:pStyle w:val="4"/>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（5）保险人认可的其他方式。</w:t>
            </w:r>
          </w:p>
          <w:p>
            <w:pPr>
              <w:pStyle w:val="4"/>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6.追溯期：</w:t>
            </w:r>
          </w:p>
          <w:p>
            <w:pPr>
              <w:pStyle w:val="4"/>
              <w:spacing w:line="360" w:lineRule="auto"/>
              <w:rPr>
                <w:rFonts w:hint="eastAsia" w:ascii="仿宋" w:hAnsi="仿宋" w:eastAsia="仿宋" w:cs="仿宋"/>
                <w:sz w:val="32"/>
                <w:szCs w:val="32"/>
                <w:lang w:val="en-US" w:eastAsia="zh-CN"/>
              </w:rPr>
            </w:pPr>
            <w:bookmarkStart w:id="1" w:name="OLE_LINK1"/>
            <w:r>
              <w:rPr>
                <w:rFonts w:hint="eastAsia" w:ascii="仿宋" w:hAnsi="仿宋" w:eastAsia="仿宋" w:cs="仿宋"/>
                <w:sz w:val="32"/>
                <w:szCs w:val="32"/>
                <w:lang w:val="en-US" w:eastAsia="zh-CN"/>
              </w:rPr>
              <w:t>合同期内保险期间内纠纷，在纠纷或诉讼判决结束后，保险人按合同约定负责赔偿。</w:t>
            </w:r>
            <w:bookmarkEnd w:id="1"/>
          </w:p>
          <w:p>
            <w:pPr>
              <w:pStyle w:val="8"/>
              <w:jc w:val="both"/>
              <w:rPr>
                <w:rFonts w:hint="eastAsia" w:ascii="仿宋" w:hAnsi="仿宋" w:eastAsia="仿宋" w:cs="仿宋"/>
                <w:sz w:val="32"/>
                <w:szCs w:val="32"/>
                <w:lang w:eastAsia="zh-CN"/>
              </w:rPr>
            </w:pPr>
          </w:p>
        </w:tc>
      </w:tr>
      <w:bookmarkEnd w:id="0"/>
    </w:tbl>
    <w:p>
      <w:pPr>
        <w:numPr>
          <w:ilvl w:val="0"/>
          <w:numId w:val="0"/>
        </w:numPr>
        <w:jc w:val="both"/>
        <w:rPr>
          <w:rFonts w:hint="default"/>
          <w:sz w:val="32"/>
          <w:szCs w:val="40"/>
          <w:lang w:val="en-US" w:eastAsia="zh-CN"/>
        </w:rPr>
      </w:pPr>
    </w:p>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067D4A"/>
    <w:multiLevelType w:val="singleLevel"/>
    <w:tmpl w:val="E5067D4A"/>
    <w:lvl w:ilvl="0" w:tentative="0">
      <w:start w:val="1"/>
      <w:numFmt w:val="chineseCounting"/>
      <w:suff w:val="nothing"/>
      <w:lvlText w:val="%1、"/>
      <w:lvlJc w:val="left"/>
      <w:rPr>
        <w:rFonts w:hint="eastAsia"/>
      </w:rPr>
    </w:lvl>
  </w:abstractNum>
  <w:abstractNum w:abstractNumId="1">
    <w:nsid w:val="2988B44B"/>
    <w:multiLevelType w:val="singleLevel"/>
    <w:tmpl w:val="2988B44B"/>
    <w:lvl w:ilvl="0" w:tentative="0">
      <w:start w:val="1"/>
      <w:numFmt w:val="chineseCounting"/>
      <w:suff w:val="nothing"/>
      <w:lvlText w:val="（%1）"/>
      <w:lvlJc w:val="left"/>
      <w:rPr>
        <w:rFonts w:hint="eastAsia"/>
      </w:rPr>
    </w:lvl>
  </w:abstractNum>
  <w:abstractNum w:abstractNumId="2">
    <w:nsid w:val="6C401D2D"/>
    <w:multiLevelType w:val="singleLevel"/>
    <w:tmpl w:val="6C401D2D"/>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YTBhYjRiNWUyNjQ5MmMwZGYzZDI0MzJlZTM1MWQifQ=="/>
  </w:docVars>
  <w:rsids>
    <w:rsidRoot w:val="55F8529F"/>
    <w:rsid w:val="00276E33"/>
    <w:rsid w:val="032E3D61"/>
    <w:rsid w:val="04F973C6"/>
    <w:rsid w:val="06090C01"/>
    <w:rsid w:val="079F19C5"/>
    <w:rsid w:val="08FC3396"/>
    <w:rsid w:val="0E23684E"/>
    <w:rsid w:val="0EED25C0"/>
    <w:rsid w:val="11186A50"/>
    <w:rsid w:val="125B745E"/>
    <w:rsid w:val="132966A1"/>
    <w:rsid w:val="13E46BAF"/>
    <w:rsid w:val="149A7048"/>
    <w:rsid w:val="180931AE"/>
    <w:rsid w:val="1AA654F7"/>
    <w:rsid w:val="1CB52423"/>
    <w:rsid w:val="1E3B0753"/>
    <w:rsid w:val="1F654C5E"/>
    <w:rsid w:val="20EB6546"/>
    <w:rsid w:val="20F546B7"/>
    <w:rsid w:val="21756E5A"/>
    <w:rsid w:val="21CE6BDB"/>
    <w:rsid w:val="287C4955"/>
    <w:rsid w:val="2BF1199E"/>
    <w:rsid w:val="2C1076FF"/>
    <w:rsid w:val="2C1D3E5C"/>
    <w:rsid w:val="2C216484"/>
    <w:rsid w:val="2DD65871"/>
    <w:rsid w:val="2E444549"/>
    <w:rsid w:val="305E1027"/>
    <w:rsid w:val="32430E48"/>
    <w:rsid w:val="32F95E34"/>
    <w:rsid w:val="3434509F"/>
    <w:rsid w:val="35501BE5"/>
    <w:rsid w:val="3E6D7B2B"/>
    <w:rsid w:val="41BE4B30"/>
    <w:rsid w:val="42D16FD7"/>
    <w:rsid w:val="43E33413"/>
    <w:rsid w:val="453A118A"/>
    <w:rsid w:val="45677001"/>
    <w:rsid w:val="477421C0"/>
    <w:rsid w:val="483D4A5C"/>
    <w:rsid w:val="48822425"/>
    <w:rsid w:val="49BE7E39"/>
    <w:rsid w:val="4E497D01"/>
    <w:rsid w:val="4EC95EA5"/>
    <w:rsid w:val="4F4C6922"/>
    <w:rsid w:val="504C76F3"/>
    <w:rsid w:val="55642C2B"/>
    <w:rsid w:val="55EE7D3F"/>
    <w:rsid w:val="55F8529F"/>
    <w:rsid w:val="568026D4"/>
    <w:rsid w:val="5A125372"/>
    <w:rsid w:val="5B982FBB"/>
    <w:rsid w:val="5DAE1D8D"/>
    <w:rsid w:val="60B03603"/>
    <w:rsid w:val="622F00B1"/>
    <w:rsid w:val="62B31701"/>
    <w:rsid w:val="63B23767"/>
    <w:rsid w:val="691F746E"/>
    <w:rsid w:val="695519DC"/>
    <w:rsid w:val="69A064AF"/>
    <w:rsid w:val="6BF7509E"/>
    <w:rsid w:val="6C485247"/>
    <w:rsid w:val="700E342C"/>
    <w:rsid w:val="7104137A"/>
    <w:rsid w:val="723C55D1"/>
    <w:rsid w:val="72411F4A"/>
    <w:rsid w:val="733F2795"/>
    <w:rsid w:val="73997EF2"/>
    <w:rsid w:val="73CB43D1"/>
    <w:rsid w:val="745D327B"/>
    <w:rsid w:val="74B17275"/>
    <w:rsid w:val="74B62127"/>
    <w:rsid w:val="765468FF"/>
    <w:rsid w:val="78354ABB"/>
    <w:rsid w:val="7A6C432B"/>
    <w:rsid w:val="7B716565"/>
    <w:rsid w:val="7D3C3975"/>
    <w:rsid w:val="7D7B6D95"/>
    <w:rsid w:val="7E592370"/>
    <w:rsid w:val="7EBA3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rPr>
      <w:rFonts w:eastAsia="宋体"/>
      <w:sz w:val="18"/>
    </w:rPr>
  </w:style>
  <w:style w:type="paragraph" w:styleId="4">
    <w:name w:val="Body Text Indent 2"/>
    <w:basedOn w:val="1"/>
    <w:qFormat/>
    <w:uiPriority w:val="0"/>
    <w:pPr>
      <w:ind w:firstLine="585"/>
    </w:pPr>
    <w:rPr>
      <w:rFonts w:ascii="宋体" w:eastAsia="宋体"/>
      <w:sz w:val="30"/>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table" w:customStyle="1" w:styleId="9">
    <w:name w:val="Table Normal"/>
    <w:semiHidden/>
    <w:unhideWhenUsed/>
    <w:qFormat/>
    <w:uiPriority w:val="0"/>
    <w:tblPr>
      <w:tblLayout w:type="fixed"/>
      <w:tblCellMar>
        <w:top w:w="0" w:type="dxa"/>
        <w:left w:w="0" w:type="dxa"/>
        <w:bottom w:w="0" w:type="dxa"/>
        <w:right w:w="0" w:type="dxa"/>
      </w:tblCellMar>
    </w:tblPr>
  </w:style>
  <w:style w:type="paragraph" w:customStyle="1" w:styleId="10">
    <w:name w:val="样式2"/>
    <w:basedOn w:val="11"/>
    <w:qFormat/>
    <w:uiPriority w:val="0"/>
    <w:rPr>
      <w:rFonts w:hint="default"/>
      <w:color w:val="0000FF"/>
    </w:rPr>
  </w:style>
  <w:style w:type="paragraph" w:customStyle="1" w:styleId="11">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2023-11-22T02:39:00Z</dcterms:created>
  <dc:creator>星空</dc:creator>
  <cp:lastModifiedBy>HP</cp:lastModifiedBy>
  <cp:lastPrinted>2024-02-20T00:40:00Z</cp:lastPrinted>
  <dcterms:modified xsi:type="dcterms:W3CDTF">2026-01-21T06:34:24Z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211EBD8F666E47E5BF0B5832FF01C9D7_13</vt:lpwstr>
  </property>
</Properties>
</file>