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9198D">
      <w:pPr>
        <w:pStyle w:val="2"/>
        <w:numPr>
          <w:ilvl w:val="0"/>
          <w:numId w:val="0"/>
        </w:numPr>
        <w:bidi w:val="0"/>
        <w:ind w:leftChars="0"/>
        <w:jc w:val="center"/>
        <w:rPr>
          <w:rFonts w:hint="default"/>
          <w:lang w:val="en-US" w:eastAsia="zh-CN"/>
        </w:rPr>
      </w:pPr>
      <w:bookmarkStart w:id="0" w:name="_GoBack"/>
      <w:r>
        <w:rPr>
          <w:rFonts w:hint="default"/>
          <w:lang w:val="en-US" w:eastAsia="zh-CN"/>
        </w:rPr>
        <w:t>大邑县人民医院</w:t>
      </w:r>
    </w:p>
    <w:p w14:paraId="52D6E31B">
      <w:pPr>
        <w:pStyle w:val="2"/>
        <w:numPr>
          <w:ilvl w:val="0"/>
          <w:numId w:val="0"/>
        </w:numPr>
        <w:bidi w:val="0"/>
        <w:ind w:leftChars="0"/>
        <w:jc w:val="center"/>
        <w:rPr>
          <w:rFonts w:hint="default"/>
          <w:lang w:val="en-US" w:eastAsia="zh-CN"/>
        </w:rPr>
      </w:pPr>
      <w:r>
        <w:rPr>
          <w:rFonts w:hint="default"/>
          <w:lang w:val="en-US" w:eastAsia="zh-CN"/>
        </w:rPr>
        <w:t>投标代理服务采购项目</w:t>
      </w:r>
      <w:r>
        <w:rPr>
          <w:rFonts w:hint="eastAsia"/>
          <w:lang w:val="en-US" w:eastAsia="zh-CN"/>
        </w:rPr>
        <w:t>比选文件</w:t>
      </w:r>
    </w:p>
    <w:bookmarkEnd w:id="0"/>
    <w:p w14:paraId="60D99FDB">
      <w:pPr>
        <w:pStyle w:val="6"/>
        <w:bidi w:val="0"/>
        <w:rPr>
          <w:rFonts w:hint="default"/>
          <w:b/>
          <w:bCs/>
          <w:lang w:val="en-US" w:eastAsia="zh-CN"/>
        </w:rPr>
      </w:pPr>
      <w:r>
        <w:rPr>
          <w:rFonts w:hint="eastAsia"/>
          <w:b/>
          <w:bCs/>
          <w:lang w:val="en-US" w:eastAsia="zh-CN"/>
        </w:rPr>
        <w:t>一、</w:t>
      </w:r>
      <w:r>
        <w:rPr>
          <w:rFonts w:hint="default"/>
          <w:b/>
          <w:bCs/>
          <w:lang w:val="en-US" w:eastAsia="zh-CN"/>
        </w:rPr>
        <w:t>项目概况</w:t>
      </w:r>
    </w:p>
    <w:p w14:paraId="5AB14BBD">
      <w:pPr>
        <w:pStyle w:val="6"/>
        <w:bidi w:val="0"/>
        <w:rPr>
          <w:rFonts w:hint="default"/>
          <w:sz w:val="24"/>
          <w:szCs w:val="24"/>
          <w:lang w:val="en-US" w:eastAsia="zh-CN"/>
        </w:rPr>
      </w:pPr>
      <w:r>
        <w:rPr>
          <w:rFonts w:hint="default"/>
          <w:sz w:val="24"/>
          <w:szCs w:val="24"/>
          <w:lang w:val="en-US" w:eastAsia="zh-CN"/>
        </w:rPr>
        <w:t>项目名称： 投标代理服务采购项目</w:t>
      </w:r>
    </w:p>
    <w:p w14:paraId="0B2EB8D0">
      <w:pPr>
        <w:pStyle w:val="6"/>
        <w:bidi w:val="0"/>
        <w:rPr>
          <w:rFonts w:hint="eastAsia"/>
          <w:sz w:val="24"/>
          <w:szCs w:val="24"/>
          <w:lang w:val="en-US" w:eastAsia="zh-CN"/>
        </w:rPr>
      </w:pPr>
      <w:r>
        <w:rPr>
          <w:rFonts w:hint="eastAsia"/>
          <w:sz w:val="24"/>
          <w:szCs w:val="24"/>
          <w:lang w:val="en-US" w:eastAsia="zh-CN"/>
        </w:rPr>
        <w:t>预算金额</w:t>
      </w:r>
      <w:r>
        <w:rPr>
          <w:rFonts w:hint="default"/>
          <w:sz w:val="24"/>
          <w:szCs w:val="24"/>
          <w:lang w:val="en-US" w:eastAsia="zh-CN"/>
        </w:rPr>
        <w:t xml:space="preserve">： </w:t>
      </w:r>
      <w:r>
        <w:rPr>
          <w:rFonts w:hint="eastAsia"/>
          <w:sz w:val="24"/>
          <w:szCs w:val="24"/>
          <w:lang w:val="en-US" w:eastAsia="zh-CN"/>
        </w:rPr>
        <w:t>人民币40000.00/年（据实支付，全年不超总预算）</w:t>
      </w:r>
    </w:p>
    <w:p w14:paraId="06C9616D">
      <w:pPr>
        <w:pStyle w:val="6"/>
        <w:bidi w:val="0"/>
        <w:rPr>
          <w:rFonts w:hint="default"/>
          <w:sz w:val="24"/>
          <w:szCs w:val="24"/>
          <w:lang w:val="en-US" w:eastAsia="zh-CN"/>
        </w:rPr>
      </w:pPr>
      <w:r>
        <w:rPr>
          <w:rFonts w:hint="eastAsia"/>
          <w:sz w:val="24"/>
          <w:szCs w:val="24"/>
          <w:lang w:val="en-US" w:eastAsia="zh-CN"/>
        </w:rPr>
        <w:t>服务时限：一采三年，合同一年一签</w:t>
      </w:r>
    </w:p>
    <w:p w14:paraId="2712C27D">
      <w:pPr>
        <w:pStyle w:val="6"/>
        <w:bidi w:val="0"/>
        <w:rPr>
          <w:rFonts w:hint="eastAsia" w:ascii="宋体" w:hAnsi="宋体" w:eastAsia="宋体"/>
          <w:sz w:val="24"/>
          <w:szCs w:val="24"/>
          <w:lang w:val="en-US" w:eastAsia="zh-CN"/>
        </w:rPr>
      </w:pPr>
      <w:r>
        <w:rPr>
          <w:rFonts w:hint="default"/>
          <w:sz w:val="24"/>
          <w:szCs w:val="24"/>
          <w:lang w:val="en-US" w:eastAsia="zh-CN"/>
        </w:rPr>
        <w:t>项目背景： 为积极参与市场化的公开招标活动，拓展医院健康体检、社区健康服务等业务，确保投标工作的专业性、规范性和成功率，</w:t>
      </w:r>
      <w:r>
        <w:rPr>
          <w:rFonts w:hint="eastAsia" w:ascii="宋体" w:hAnsi="宋体" w:eastAsia="宋体"/>
          <w:sz w:val="24"/>
          <w:szCs w:val="24"/>
          <w:lang w:val="en-US" w:eastAsia="zh-CN"/>
        </w:rPr>
        <w:t>我院需采购一家专业的投标代理服务机构，为我院提供全方位的投标支持服务。</w:t>
      </w:r>
    </w:p>
    <w:p w14:paraId="00AE1502">
      <w:pPr>
        <w:pStyle w:val="6"/>
        <w:bidi w:val="0"/>
        <w:ind w:firstLine="281" w:firstLineChars="100"/>
        <w:rPr>
          <w:rFonts w:hint="default"/>
          <w:b/>
          <w:bCs/>
          <w:lang w:val="en-US" w:eastAsia="zh-CN"/>
        </w:rPr>
      </w:pPr>
      <w:r>
        <w:rPr>
          <w:rFonts w:hint="default" w:ascii="宋体" w:hAnsi="宋体" w:eastAsia="宋体" w:cstheme="minorBidi"/>
          <w:b/>
          <w:bCs/>
          <w:sz w:val="28"/>
          <w:szCs w:val="22"/>
          <w:lang w:eastAsia="zh-CN"/>
        </w:rPr>
        <w:t>★</w:t>
      </w:r>
      <w:r>
        <w:rPr>
          <w:rFonts w:hint="eastAsia"/>
          <w:b/>
          <w:bCs/>
          <w:lang w:val="en-US" w:eastAsia="zh-CN"/>
        </w:rPr>
        <w:t>二、</w:t>
      </w:r>
      <w:r>
        <w:rPr>
          <w:rFonts w:hint="default"/>
          <w:b/>
          <w:bCs/>
          <w:lang w:val="en-US" w:eastAsia="zh-CN"/>
        </w:rPr>
        <w:t>服务内容及要求</w:t>
      </w:r>
    </w:p>
    <w:p w14:paraId="27CF712E">
      <w:pPr>
        <w:pStyle w:val="6"/>
        <w:bidi w:val="0"/>
        <w:rPr>
          <w:rFonts w:hint="default"/>
          <w:lang w:val="en-US" w:eastAsia="zh-CN"/>
        </w:rPr>
      </w:pPr>
      <w:r>
        <w:rPr>
          <w:rFonts w:hint="default"/>
          <w:sz w:val="24"/>
          <w:szCs w:val="24"/>
          <w:lang w:val="en-US" w:eastAsia="zh-CN"/>
        </w:rPr>
        <w:t>为我单位提供的各类招标项目（主要为体检服务、社区健康活动等服务类项目）提供专业的投标代理服务，包括但不限于：招标信息搜集、报名咨询、标书编制、内部审核对接、装订封装、投标递交及后续协调等全过程服务。</w:t>
      </w:r>
    </w:p>
    <w:p w14:paraId="27FE20A4">
      <w:pPr>
        <w:pStyle w:val="6"/>
        <w:bidi w:val="0"/>
        <w:rPr>
          <w:rFonts w:hint="default"/>
          <w:b/>
          <w:bCs/>
          <w:lang w:val="en-US" w:eastAsia="zh-CN"/>
        </w:rPr>
      </w:pPr>
      <w:r>
        <w:rPr>
          <w:rFonts w:hint="eastAsia"/>
          <w:b/>
          <w:bCs/>
          <w:lang w:val="en-US" w:eastAsia="zh-CN"/>
        </w:rPr>
        <w:t>1、</w:t>
      </w:r>
      <w:r>
        <w:rPr>
          <w:rFonts w:hint="default"/>
          <w:b/>
          <w:bCs/>
          <w:lang w:val="en-US" w:eastAsia="zh-CN"/>
        </w:rPr>
        <w:t>招标信息监测与推送：</w:t>
      </w:r>
    </w:p>
    <w:p w14:paraId="1D0327A2">
      <w:pPr>
        <w:pStyle w:val="6"/>
        <w:bidi w:val="0"/>
        <w:rPr>
          <w:rFonts w:hint="default"/>
          <w:sz w:val="24"/>
          <w:szCs w:val="24"/>
          <w:lang w:val="en-US" w:eastAsia="zh-CN"/>
        </w:rPr>
      </w:pPr>
      <w:r>
        <w:rPr>
          <w:rFonts w:hint="default"/>
          <w:sz w:val="24"/>
          <w:szCs w:val="24"/>
          <w:lang w:val="en-US" w:eastAsia="zh-CN"/>
        </w:rPr>
        <w:t>指定专人监测与</w:t>
      </w:r>
      <w:r>
        <w:rPr>
          <w:rFonts w:hint="eastAsia"/>
          <w:sz w:val="24"/>
          <w:szCs w:val="24"/>
          <w:lang w:val="en-US" w:eastAsia="zh-CN"/>
        </w:rPr>
        <w:t>采购人</w:t>
      </w:r>
      <w:r>
        <w:rPr>
          <w:rFonts w:hint="default"/>
          <w:sz w:val="24"/>
          <w:szCs w:val="24"/>
          <w:lang w:val="en-US" w:eastAsia="zh-CN"/>
        </w:rPr>
        <w:t>业务相关的招标采购平台（如：四川政府采购网、</w:t>
      </w:r>
      <w:r>
        <w:rPr>
          <w:rFonts w:hint="eastAsia"/>
          <w:sz w:val="24"/>
          <w:szCs w:val="24"/>
          <w:lang w:val="en-US" w:eastAsia="zh-CN"/>
        </w:rPr>
        <w:t>四川省</w:t>
      </w:r>
      <w:r>
        <w:rPr>
          <w:rFonts w:hint="default"/>
          <w:sz w:val="24"/>
          <w:szCs w:val="24"/>
          <w:lang w:val="en-US" w:eastAsia="zh-CN"/>
        </w:rPr>
        <w:t>公共资源交易服务中心、</w:t>
      </w:r>
      <w:r>
        <w:rPr>
          <w:rFonts w:hint="eastAsia"/>
          <w:sz w:val="24"/>
          <w:szCs w:val="24"/>
          <w:lang w:val="en-US" w:eastAsia="zh-CN"/>
        </w:rPr>
        <w:t>中国招标投标公共服务</w:t>
      </w:r>
      <w:r>
        <w:rPr>
          <w:rFonts w:hint="default"/>
          <w:sz w:val="24"/>
          <w:szCs w:val="24"/>
          <w:lang w:val="en-US" w:eastAsia="zh-CN"/>
        </w:rPr>
        <w:t>平台等）。</w:t>
      </w:r>
    </w:p>
    <w:p w14:paraId="4BBE681B">
      <w:pPr>
        <w:pStyle w:val="6"/>
        <w:bidi w:val="0"/>
        <w:rPr>
          <w:rFonts w:hint="default"/>
          <w:sz w:val="24"/>
          <w:szCs w:val="24"/>
          <w:lang w:val="en-US" w:eastAsia="zh-CN"/>
        </w:rPr>
      </w:pPr>
      <w:r>
        <w:rPr>
          <w:rFonts w:hint="default"/>
          <w:sz w:val="24"/>
          <w:szCs w:val="24"/>
          <w:lang w:val="en-US" w:eastAsia="zh-CN"/>
        </w:rPr>
        <w:t>及时发现并精准推送与“医疗卫生”、“健康体检”、“社区服务”等相关的招标项目信息，并提出专业参与建议。</w:t>
      </w:r>
    </w:p>
    <w:p w14:paraId="279F3AF3">
      <w:pPr>
        <w:pStyle w:val="6"/>
        <w:bidi w:val="0"/>
        <w:ind w:left="0" w:leftChars="0" w:firstLine="562" w:firstLineChars="200"/>
        <w:rPr>
          <w:rFonts w:hint="default"/>
          <w:b/>
          <w:bCs/>
          <w:lang w:val="en-US" w:eastAsia="zh-CN"/>
        </w:rPr>
      </w:pPr>
      <w:r>
        <w:rPr>
          <w:rFonts w:hint="eastAsia"/>
          <w:b/>
          <w:bCs/>
          <w:lang w:val="en-US" w:eastAsia="zh-CN"/>
        </w:rPr>
        <w:t>2、</w:t>
      </w:r>
      <w:r>
        <w:rPr>
          <w:rFonts w:hint="default"/>
          <w:b/>
          <w:bCs/>
          <w:lang w:val="en-US" w:eastAsia="zh-CN"/>
        </w:rPr>
        <w:t>投标全过程咨询与策划：</w:t>
      </w:r>
    </w:p>
    <w:p w14:paraId="06D7923F">
      <w:pPr>
        <w:pStyle w:val="6"/>
        <w:bidi w:val="0"/>
        <w:rPr>
          <w:rFonts w:hint="default"/>
          <w:sz w:val="24"/>
          <w:szCs w:val="24"/>
          <w:lang w:val="en-US" w:eastAsia="zh-CN"/>
        </w:rPr>
      </w:pPr>
      <w:r>
        <w:rPr>
          <w:rFonts w:hint="default"/>
          <w:sz w:val="24"/>
          <w:szCs w:val="24"/>
          <w:lang w:val="en-US" w:eastAsia="zh-CN"/>
        </w:rPr>
        <w:t>针对</w:t>
      </w:r>
      <w:r>
        <w:rPr>
          <w:rFonts w:hint="eastAsia"/>
          <w:sz w:val="24"/>
          <w:szCs w:val="24"/>
          <w:lang w:val="en-US" w:eastAsia="zh-CN"/>
        </w:rPr>
        <w:t>采购人</w:t>
      </w:r>
      <w:r>
        <w:rPr>
          <w:rFonts w:hint="default"/>
          <w:sz w:val="24"/>
          <w:szCs w:val="24"/>
          <w:lang w:val="en-US" w:eastAsia="zh-CN"/>
        </w:rPr>
        <w:t>意向参与的项目，提供专业的招标文件解读、风险分析、优势劣势分析。</w:t>
      </w:r>
    </w:p>
    <w:p w14:paraId="602FDE6C">
      <w:pPr>
        <w:pStyle w:val="6"/>
        <w:bidi w:val="0"/>
        <w:rPr>
          <w:rFonts w:hint="default"/>
          <w:sz w:val="24"/>
          <w:szCs w:val="24"/>
          <w:lang w:val="en-US" w:eastAsia="zh-CN"/>
        </w:rPr>
      </w:pPr>
      <w:r>
        <w:rPr>
          <w:rFonts w:hint="default"/>
          <w:sz w:val="24"/>
          <w:szCs w:val="24"/>
          <w:lang w:val="en-US" w:eastAsia="zh-CN"/>
        </w:rPr>
        <w:t>协助</w:t>
      </w:r>
      <w:r>
        <w:rPr>
          <w:rFonts w:hint="eastAsia"/>
          <w:sz w:val="24"/>
          <w:szCs w:val="24"/>
          <w:lang w:val="en-US" w:eastAsia="zh-CN"/>
        </w:rPr>
        <w:t>采购人</w:t>
      </w:r>
      <w:r>
        <w:rPr>
          <w:rFonts w:hint="default"/>
          <w:sz w:val="24"/>
          <w:szCs w:val="24"/>
          <w:lang w:val="en-US" w:eastAsia="zh-CN"/>
        </w:rPr>
        <w:t>制定投标策略，明确投标重点和亮点。</w:t>
      </w:r>
    </w:p>
    <w:p w14:paraId="3B021874">
      <w:pPr>
        <w:pStyle w:val="6"/>
        <w:bidi w:val="0"/>
        <w:ind w:firstLine="562"/>
        <w:rPr>
          <w:rFonts w:hint="default"/>
          <w:b/>
          <w:bCs/>
          <w:lang w:val="en-US" w:eastAsia="zh-CN"/>
        </w:rPr>
      </w:pPr>
      <w:r>
        <w:rPr>
          <w:rFonts w:hint="eastAsia"/>
          <w:b/>
          <w:bCs/>
          <w:lang w:val="en-US" w:eastAsia="zh-CN"/>
        </w:rPr>
        <w:t>3、</w:t>
      </w:r>
      <w:r>
        <w:rPr>
          <w:rFonts w:hint="default"/>
          <w:b/>
          <w:bCs/>
          <w:lang w:val="en-US" w:eastAsia="zh-CN"/>
        </w:rPr>
        <w:t>专业化标书编制与制作：</w:t>
      </w:r>
    </w:p>
    <w:p w14:paraId="585A5100">
      <w:pPr>
        <w:pStyle w:val="6"/>
        <w:bidi w:val="0"/>
        <w:rPr>
          <w:rFonts w:hint="default"/>
          <w:sz w:val="24"/>
          <w:szCs w:val="24"/>
          <w:lang w:val="en-US" w:eastAsia="zh-CN"/>
        </w:rPr>
      </w:pPr>
      <w:r>
        <w:rPr>
          <w:rFonts w:hint="default"/>
          <w:sz w:val="24"/>
          <w:szCs w:val="24"/>
          <w:lang w:val="en-US" w:eastAsia="zh-CN"/>
        </w:rPr>
        <w:t>编制内容： 严格按照招标文件要求，高质量编制投标文件的全部内容，包括但不限于：商务部分（营业执照、资质、业绩、人员等）、技术部分（服务方案、实施方案、质量保障措施、应急预案等）、报价部分。</w:t>
      </w:r>
    </w:p>
    <w:p w14:paraId="280D6C60">
      <w:pPr>
        <w:pStyle w:val="6"/>
        <w:bidi w:val="0"/>
        <w:rPr>
          <w:rFonts w:hint="default"/>
          <w:sz w:val="24"/>
          <w:szCs w:val="24"/>
          <w:lang w:val="en-US" w:eastAsia="zh-CN"/>
        </w:rPr>
      </w:pPr>
      <w:r>
        <w:rPr>
          <w:rFonts w:hint="default"/>
          <w:sz w:val="24"/>
          <w:szCs w:val="24"/>
          <w:lang w:val="en-US" w:eastAsia="zh-CN"/>
        </w:rPr>
        <w:t>方案定制： 结合大邑县人民医院的具体情况（品牌实力、专家资源、设备优势、本地化服务经验等），量身定制突出我院核心优势和特色的技术方案，杜绝模板化、套用化。</w:t>
      </w:r>
    </w:p>
    <w:p w14:paraId="65A3AFD7">
      <w:pPr>
        <w:pStyle w:val="6"/>
        <w:bidi w:val="0"/>
        <w:rPr>
          <w:rFonts w:hint="default"/>
          <w:sz w:val="24"/>
          <w:szCs w:val="24"/>
          <w:lang w:val="en-US" w:eastAsia="zh-CN"/>
        </w:rPr>
      </w:pPr>
      <w:r>
        <w:rPr>
          <w:rFonts w:hint="default"/>
          <w:sz w:val="24"/>
          <w:szCs w:val="24"/>
          <w:lang w:val="en-US" w:eastAsia="zh-CN"/>
        </w:rPr>
        <w:t>材料整理： 负责收集、整理、复印、扫描投标所需的各类资质证明文件。</w:t>
      </w:r>
    </w:p>
    <w:p w14:paraId="40B6EBF5">
      <w:pPr>
        <w:pStyle w:val="6"/>
        <w:bidi w:val="0"/>
        <w:ind w:firstLine="480"/>
        <w:rPr>
          <w:rFonts w:hint="default"/>
          <w:sz w:val="24"/>
          <w:szCs w:val="24"/>
          <w:lang w:val="en-US" w:eastAsia="zh-CN"/>
        </w:rPr>
      </w:pPr>
      <w:r>
        <w:rPr>
          <w:rFonts w:hint="default"/>
          <w:sz w:val="24"/>
          <w:szCs w:val="24"/>
          <w:lang w:val="en-US" w:eastAsia="zh-CN"/>
        </w:rPr>
        <w:t>审核修改： 根据</w:t>
      </w:r>
      <w:r>
        <w:rPr>
          <w:rFonts w:hint="eastAsia"/>
          <w:sz w:val="24"/>
          <w:szCs w:val="24"/>
          <w:lang w:val="en-US" w:eastAsia="zh-CN"/>
        </w:rPr>
        <w:t>采购人</w:t>
      </w:r>
      <w:r>
        <w:rPr>
          <w:rFonts w:hint="default"/>
          <w:sz w:val="24"/>
          <w:szCs w:val="24"/>
          <w:lang w:val="en-US" w:eastAsia="zh-CN"/>
        </w:rPr>
        <w:t>内部审核意见，进行标书的修改与完善，直至定稿。</w:t>
      </w:r>
    </w:p>
    <w:p w14:paraId="2B6F0CC0">
      <w:pPr>
        <w:pStyle w:val="6"/>
        <w:bidi w:val="0"/>
        <w:ind w:left="0" w:leftChars="0" w:firstLine="562" w:firstLineChars="200"/>
        <w:rPr>
          <w:rFonts w:hint="eastAsia"/>
          <w:b/>
          <w:bCs/>
          <w:lang w:val="en-US" w:eastAsia="zh-CN"/>
        </w:rPr>
      </w:pPr>
    </w:p>
    <w:p w14:paraId="2123C74D">
      <w:pPr>
        <w:pStyle w:val="6"/>
        <w:bidi w:val="0"/>
        <w:ind w:left="0" w:leftChars="0" w:firstLine="562" w:firstLineChars="200"/>
        <w:rPr>
          <w:rFonts w:hint="default"/>
          <w:b/>
          <w:bCs/>
          <w:lang w:val="en-US" w:eastAsia="zh-CN"/>
        </w:rPr>
      </w:pPr>
      <w:r>
        <w:rPr>
          <w:rFonts w:hint="eastAsia"/>
          <w:b/>
          <w:bCs/>
          <w:lang w:val="en-US" w:eastAsia="zh-CN"/>
        </w:rPr>
        <w:t>4、</w:t>
      </w:r>
      <w:r>
        <w:rPr>
          <w:rFonts w:hint="default"/>
          <w:b/>
          <w:bCs/>
          <w:lang w:val="en-US" w:eastAsia="zh-CN"/>
        </w:rPr>
        <w:t>标书装订与封装：</w:t>
      </w:r>
    </w:p>
    <w:p w14:paraId="2E26226C">
      <w:pPr>
        <w:pStyle w:val="6"/>
        <w:bidi w:val="0"/>
        <w:rPr>
          <w:rFonts w:hint="default"/>
          <w:sz w:val="24"/>
          <w:szCs w:val="24"/>
          <w:lang w:val="en-US" w:eastAsia="zh-CN"/>
        </w:rPr>
      </w:pPr>
      <w:r>
        <w:rPr>
          <w:rFonts w:hint="default"/>
          <w:sz w:val="24"/>
          <w:szCs w:val="24"/>
          <w:lang w:val="en-US" w:eastAsia="zh-CN"/>
        </w:rPr>
        <w:t>负责投标文件的打印、胶装、装订工作。要求排版精美、格式规范、无错页漏页。</w:t>
      </w:r>
    </w:p>
    <w:p w14:paraId="6D9FC056">
      <w:pPr>
        <w:pStyle w:val="6"/>
        <w:bidi w:val="0"/>
        <w:rPr>
          <w:rFonts w:hint="default"/>
          <w:sz w:val="24"/>
          <w:szCs w:val="24"/>
          <w:lang w:val="en-US" w:eastAsia="zh-CN"/>
        </w:rPr>
      </w:pPr>
      <w:r>
        <w:rPr>
          <w:rFonts w:hint="default"/>
          <w:sz w:val="24"/>
          <w:szCs w:val="24"/>
          <w:lang w:val="en-US" w:eastAsia="zh-CN"/>
        </w:rPr>
        <w:t>严格按照招标文件要求，进行密封、盖章（需</w:t>
      </w:r>
      <w:r>
        <w:rPr>
          <w:rFonts w:hint="eastAsia"/>
          <w:sz w:val="24"/>
          <w:szCs w:val="24"/>
          <w:lang w:val="en-US" w:eastAsia="zh-CN"/>
        </w:rPr>
        <w:t>采购人</w:t>
      </w:r>
      <w:r>
        <w:rPr>
          <w:rFonts w:hint="default"/>
          <w:sz w:val="24"/>
          <w:szCs w:val="24"/>
          <w:lang w:val="en-US" w:eastAsia="zh-CN"/>
        </w:rPr>
        <w:t>配合）、封装等工作，确保符合采购方的所有形式要求。</w:t>
      </w:r>
    </w:p>
    <w:p w14:paraId="3F19367A">
      <w:pPr>
        <w:pStyle w:val="6"/>
        <w:bidi w:val="0"/>
        <w:ind w:firstLine="562"/>
        <w:rPr>
          <w:rFonts w:hint="default"/>
          <w:b/>
          <w:bCs/>
          <w:lang w:val="en-US" w:eastAsia="zh-CN"/>
        </w:rPr>
      </w:pPr>
      <w:r>
        <w:rPr>
          <w:rFonts w:hint="eastAsia"/>
          <w:b/>
          <w:bCs/>
          <w:lang w:val="en-US" w:eastAsia="zh-CN"/>
        </w:rPr>
        <w:t>5、</w:t>
      </w:r>
      <w:r>
        <w:rPr>
          <w:rFonts w:hint="default"/>
          <w:b/>
          <w:bCs/>
          <w:lang w:val="en-US" w:eastAsia="zh-CN"/>
        </w:rPr>
        <w:t>投标递交与现场支持：</w:t>
      </w:r>
    </w:p>
    <w:p w14:paraId="15DB7D4D">
      <w:pPr>
        <w:pStyle w:val="6"/>
        <w:bidi w:val="0"/>
        <w:rPr>
          <w:rFonts w:hint="default"/>
          <w:sz w:val="24"/>
          <w:szCs w:val="24"/>
          <w:lang w:val="en-US" w:eastAsia="zh-CN"/>
        </w:rPr>
      </w:pPr>
      <w:r>
        <w:rPr>
          <w:rFonts w:hint="default"/>
          <w:sz w:val="24"/>
          <w:szCs w:val="24"/>
          <w:lang w:val="en-US" w:eastAsia="zh-CN"/>
        </w:rPr>
        <w:t>负责在招标截止时间前，委派专人将投标文件送达指定地点。</w:t>
      </w:r>
    </w:p>
    <w:p w14:paraId="60C46797">
      <w:pPr>
        <w:pStyle w:val="6"/>
        <w:bidi w:val="0"/>
        <w:rPr>
          <w:rFonts w:hint="default"/>
          <w:sz w:val="24"/>
          <w:szCs w:val="24"/>
          <w:lang w:val="en-US" w:eastAsia="zh-CN"/>
        </w:rPr>
      </w:pPr>
      <w:r>
        <w:rPr>
          <w:rFonts w:hint="default"/>
          <w:sz w:val="24"/>
          <w:szCs w:val="24"/>
          <w:lang w:val="en-US" w:eastAsia="zh-CN"/>
        </w:rPr>
        <w:t>如需要，可提供开标现场的全程陪同与支持服务，协助处理可能出现的突发情况。</w:t>
      </w:r>
    </w:p>
    <w:p w14:paraId="15973B48">
      <w:pPr>
        <w:pStyle w:val="6"/>
        <w:bidi w:val="0"/>
        <w:ind w:left="0" w:leftChars="0" w:firstLine="562" w:firstLineChars="200"/>
        <w:rPr>
          <w:rFonts w:hint="default"/>
          <w:b/>
          <w:bCs/>
          <w:lang w:val="en-US" w:eastAsia="zh-CN"/>
        </w:rPr>
      </w:pPr>
      <w:r>
        <w:rPr>
          <w:rFonts w:hint="eastAsia"/>
          <w:b/>
          <w:bCs/>
          <w:lang w:val="en-US" w:eastAsia="zh-CN"/>
        </w:rPr>
        <w:t>6、</w:t>
      </w:r>
      <w:r>
        <w:rPr>
          <w:rFonts w:hint="default"/>
          <w:b/>
          <w:bCs/>
          <w:lang w:val="en-US" w:eastAsia="zh-CN"/>
        </w:rPr>
        <w:t>保密与归档要求：</w:t>
      </w:r>
    </w:p>
    <w:p w14:paraId="2C6ED86C">
      <w:pPr>
        <w:pStyle w:val="6"/>
        <w:bidi w:val="0"/>
        <w:rPr>
          <w:rFonts w:hint="default"/>
          <w:sz w:val="24"/>
          <w:szCs w:val="24"/>
          <w:lang w:val="en-US" w:eastAsia="zh-CN"/>
        </w:rPr>
      </w:pPr>
      <w:r>
        <w:rPr>
          <w:rFonts w:hint="eastAsia"/>
          <w:sz w:val="24"/>
          <w:szCs w:val="24"/>
          <w:lang w:val="en-US" w:eastAsia="zh-CN"/>
        </w:rPr>
        <w:t>供应商</w:t>
      </w:r>
      <w:r>
        <w:rPr>
          <w:rFonts w:hint="default"/>
          <w:sz w:val="24"/>
          <w:szCs w:val="24"/>
          <w:lang w:val="en-US" w:eastAsia="zh-CN"/>
        </w:rPr>
        <w:t>须对</w:t>
      </w:r>
      <w:r>
        <w:rPr>
          <w:rFonts w:hint="eastAsia"/>
          <w:sz w:val="24"/>
          <w:szCs w:val="24"/>
          <w:lang w:val="en-US" w:eastAsia="zh-CN"/>
        </w:rPr>
        <w:t>采购人</w:t>
      </w:r>
      <w:r>
        <w:rPr>
          <w:rFonts w:hint="default"/>
          <w:sz w:val="24"/>
          <w:szCs w:val="24"/>
          <w:lang w:val="en-US" w:eastAsia="zh-CN"/>
        </w:rPr>
        <w:t>的所有商业信息、技术资料、投标策略等承担绝对保密责任，签订保密协议。</w:t>
      </w:r>
    </w:p>
    <w:p w14:paraId="4E3E0F0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sz w:val="24"/>
          <w:szCs w:val="24"/>
          <w:lang w:val="en-US" w:eastAsia="zh-CN"/>
        </w:rPr>
      </w:pPr>
      <w:r>
        <w:rPr>
          <w:rFonts w:hint="default"/>
          <w:sz w:val="24"/>
          <w:szCs w:val="24"/>
          <w:lang w:val="en-US" w:eastAsia="zh-CN"/>
        </w:rPr>
        <w:t>项目结束后，须将投标过程中的所有电子及纸质文档整理成册，移交</w:t>
      </w:r>
      <w:r>
        <w:rPr>
          <w:rFonts w:hint="eastAsia"/>
          <w:sz w:val="24"/>
          <w:szCs w:val="24"/>
          <w:lang w:val="en-US" w:eastAsia="zh-CN"/>
        </w:rPr>
        <w:t>采购人</w:t>
      </w:r>
      <w:r>
        <w:rPr>
          <w:rFonts w:hint="default"/>
          <w:sz w:val="24"/>
          <w:szCs w:val="24"/>
          <w:lang w:val="en-US" w:eastAsia="zh-CN"/>
        </w:rPr>
        <w:t>归档。</w:t>
      </w:r>
    </w:p>
    <w:p w14:paraId="47099CBF">
      <w:pPr>
        <w:pStyle w:val="6"/>
        <w:keepNext w:val="0"/>
        <w:keepLines w:val="0"/>
        <w:pageBreakBefore w:val="0"/>
        <w:widowControl w:val="0"/>
        <w:kinsoku/>
        <w:wordWrap/>
        <w:overflowPunct/>
        <w:topLinePunct w:val="0"/>
        <w:autoSpaceDE/>
        <w:autoSpaceDN/>
        <w:bidi w:val="0"/>
        <w:adjustRightInd/>
        <w:snapToGrid/>
        <w:spacing w:after="0"/>
        <w:ind w:firstLine="562" w:firstLineChars="200"/>
        <w:textAlignment w:val="auto"/>
        <w:rPr>
          <w:rFonts w:hint="eastAsia" w:ascii="宋体" w:hAnsi="宋体" w:eastAsia="宋体"/>
          <w:b/>
          <w:bCs/>
          <w:sz w:val="28"/>
          <w:szCs w:val="22"/>
          <w:lang w:val="en-US" w:eastAsia="zh-CN"/>
        </w:rPr>
      </w:pPr>
      <w:r>
        <w:rPr>
          <w:rFonts w:hint="eastAsia" w:ascii="宋体" w:hAnsi="宋体" w:eastAsia="宋体"/>
          <w:b/>
          <w:bCs/>
          <w:sz w:val="28"/>
          <w:szCs w:val="22"/>
          <w:lang w:val="en-US" w:eastAsia="zh-CN"/>
        </w:rPr>
        <w:t>7、</w:t>
      </w:r>
      <w:r>
        <w:rPr>
          <w:rFonts w:hint="eastAsia" w:ascii="宋体" w:hAnsi="宋体" w:eastAsia="宋体" w:cstheme="minorBidi"/>
          <w:b/>
          <w:bCs/>
          <w:sz w:val="28"/>
          <w:szCs w:val="22"/>
          <w:lang w:val="en-US" w:eastAsia="zh-CN"/>
        </w:rPr>
        <w:t>服务报价清单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446"/>
        <w:gridCol w:w="2325"/>
        <w:gridCol w:w="2842"/>
      </w:tblGrid>
      <w:tr w14:paraId="4ECE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color="auto" w:fill="FFFFFF"/>
            <w:vAlign w:val="center"/>
          </w:tcPr>
          <w:p w14:paraId="1FCFBBBF">
            <w:pPr>
              <w:keepNext w:val="0"/>
              <w:keepLines w:val="0"/>
              <w:widowControl/>
              <w:suppressLineNumbers w:val="0"/>
              <w:jc w:val="center"/>
              <w:rPr>
                <w:rFonts w:hint="default" w:ascii="仿宋" w:hAnsi="仿宋" w:eastAsia="仿宋" w:cs="仿宋"/>
                <w:b w:val="0"/>
                <w:bCs/>
                <w:i w:val="0"/>
                <w:color w:val="000000"/>
                <w:sz w:val="28"/>
                <w:szCs w:val="28"/>
                <w:vertAlign w:val="baseline"/>
                <w:lang w:val="en-US" w:eastAsia="zh-CN"/>
              </w:rPr>
            </w:pPr>
            <w:r>
              <w:rPr>
                <w:rFonts w:hint="eastAsia" w:ascii="仿宋" w:hAnsi="仿宋" w:eastAsia="仿宋" w:cs="仿宋"/>
                <w:b w:val="0"/>
                <w:bCs/>
                <w:i w:val="0"/>
                <w:color w:val="000000"/>
                <w:sz w:val="28"/>
                <w:szCs w:val="28"/>
                <w:vertAlign w:val="baseline"/>
                <w:lang w:val="en-US" w:eastAsia="zh-CN"/>
              </w:rPr>
              <w:t>序号</w:t>
            </w:r>
          </w:p>
        </w:tc>
        <w:tc>
          <w:tcPr>
            <w:tcW w:w="2446" w:type="dxa"/>
            <w:tcBorders>
              <w:top w:val="single" w:color="auto" w:sz="4" w:space="0"/>
              <w:left w:val="single" w:color="auto" w:sz="4" w:space="0"/>
              <w:bottom w:val="single" w:color="auto" w:sz="4" w:space="0"/>
              <w:right w:val="single" w:color="auto" w:sz="4" w:space="0"/>
            </w:tcBorders>
            <w:shd w:val="clear" w:color="auto" w:fill="FFFFFF"/>
            <w:vAlign w:val="center"/>
          </w:tcPr>
          <w:p w14:paraId="16C25EED">
            <w:pPr>
              <w:keepNext w:val="0"/>
              <w:keepLines w:val="0"/>
              <w:widowControl/>
              <w:suppressLineNumbers w:val="0"/>
              <w:jc w:val="center"/>
              <w:rPr>
                <w:rFonts w:hint="default" w:ascii="仿宋" w:hAnsi="仿宋" w:eastAsia="仿宋" w:cs="仿宋"/>
                <w:b w:val="0"/>
                <w:bCs/>
                <w:i w:val="0"/>
                <w:color w:val="000000"/>
                <w:sz w:val="28"/>
                <w:szCs w:val="28"/>
                <w:vertAlign w:val="baseline"/>
                <w:lang w:val="en-US" w:eastAsia="zh-CN"/>
              </w:rPr>
            </w:pPr>
            <w:r>
              <w:rPr>
                <w:rFonts w:hint="eastAsia" w:ascii="仿宋" w:hAnsi="仿宋" w:eastAsia="仿宋" w:cs="仿宋"/>
                <w:b w:val="0"/>
                <w:bCs/>
                <w:i w:val="0"/>
                <w:color w:val="000000"/>
                <w:sz w:val="28"/>
                <w:szCs w:val="28"/>
                <w:vertAlign w:val="baseline"/>
                <w:lang w:val="en-US" w:eastAsia="zh-CN"/>
              </w:rPr>
              <w:t>品名</w:t>
            </w:r>
          </w:p>
        </w:tc>
        <w:tc>
          <w:tcPr>
            <w:tcW w:w="2325" w:type="dxa"/>
            <w:tcBorders>
              <w:top w:val="single" w:color="auto" w:sz="4" w:space="0"/>
              <w:left w:val="single" w:color="auto" w:sz="4" w:space="0"/>
              <w:bottom w:val="single" w:color="auto" w:sz="4" w:space="0"/>
              <w:right w:val="single" w:color="auto" w:sz="4" w:space="0"/>
            </w:tcBorders>
            <w:shd w:val="clear" w:color="auto" w:fill="FFFFFF"/>
            <w:vAlign w:val="center"/>
          </w:tcPr>
          <w:p w14:paraId="1DB41672">
            <w:pPr>
              <w:keepNext w:val="0"/>
              <w:keepLines w:val="0"/>
              <w:widowControl/>
              <w:suppressLineNumbers w:val="0"/>
              <w:jc w:val="center"/>
              <w:rPr>
                <w:rFonts w:hint="default" w:ascii="仿宋" w:hAnsi="仿宋" w:eastAsia="仿宋" w:cs="仿宋"/>
                <w:b w:val="0"/>
                <w:bCs/>
                <w:i w:val="0"/>
                <w:color w:val="000000"/>
                <w:sz w:val="28"/>
                <w:szCs w:val="28"/>
                <w:vertAlign w:val="baseline"/>
                <w:lang w:val="en-US" w:eastAsia="zh-CN"/>
              </w:rPr>
            </w:pPr>
            <w:r>
              <w:rPr>
                <w:rFonts w:hint="eastAsia" w:ascii="仿宋" w:hAnsi="仿宋" w:eastAsia="仿宋" w:cs="仿宋"/>
                <w:b w:val="0"/>
                <w:bCs/>
                <w:i w:val="0"/>
                <w:color w:val="000000"/>
                <w:sz w:val="28"/>
                <w:szCs w:val="28"/>
                <w:vertAlign w:val="baseline"/>
                <w:lang w:val="en-US" w:eastAsia="zh-CN"/>
              </w:rPr>
              <w:t>单位</w:t>
            </w:r>
          </w:p>
        </w:tc>
        <w:tc>
          <w:tcPr>
            <w:tcW w:w="2842" w:type="dxa"/>
            <w:tcBorders>
              <w:top w:val="single" w:color="auto" w:sz="4" w:space="0"/>
              <w:left w:val="single" w:color="auto" w:sz="4" w:space="0"/>
              <w:bottom w:val="single" w:color="auto" w:sz="4" w:space="0"/>
              <w:right w:val="single" w:color="auto" w:sz="4" w:space="0"/>
            </w:tcBorders>
            <w:shd w:val="clear" w:color="auto" w:fill="FFFFFF"/>
            <w:vAlign w:val="center"/>
          </w:tcPr>
          <w:p w14:paraId="41DF1F9C">
            <w:pPr>
              <w:keepNext w:val="0"/>
              <w:keepLines w:val="0"/>
              <w:widowControl/>
              <w:suppressLineNumbers w:val="0"/>
              <w:jc w:val="center"/>
              <w:rPr>
                <w:rFonts w:hint="default" w:ascii="仿宋" w:hAnsi="仿宋" w:eastAsia="仿宋" w:cs="仿宋"/>
                <w:b w:val="0"/>
                <w:bCs/>
                <w:i w:val="0"/>
                <w:color w:val="000000"/>
                <w:sz w:val="28"/>
                <w:szCs w:val="28"/>
                <w:vertAlign w:val="baseline"/>
                <w:lang w:val="en-US" w:eastAsia="zh-CN"/>
              </w:rPr>
            </w:pPr>
            <w:r>
              <w:rPr>
                <w:rFonts w:hint="eastAsia" w:ascii="仿宋" w:hAnsi="仿宋" w:eastAsia="仿宋" w:cs="仿宋"/>
                <w:b w:val="0"/>
                <w:bCs/>
                <w:i w:val="0"/>
                <w:color w:val="000000"/>
                <w:sz w:val="28"/>
                <w:szCs w:val="28"/>
                <w:vertAlign w:val="baseline"/>
                <w:lang w:val="en-US" w:eastAsia="zh-CN"/>
              </w:rPr>
              <w:t>单价限价（元）</w:t>
            </w:r>
          </w:p>
        </w:tc>
      </w:tr>
      <w:tr w14:paraId="02E3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8" w:type="dxa"/>
            <w:tcBorders>
              <w:top w:val="single" w:color="auto" w:sz="4" w:space="0"/>
              <w:left w:val="single" w:color="auto" w:sz="4" w:space="0"/>
              <w:bottom w:val="single" w:color="auto" w:sz="4" w:space="0"/>
              <w:right w:val="single" w:color="auto" w:sz="4" w:space="0"/>
            </w:tcBorders>
            <w:shd w:val="clear" w:color="auto" w:fill="FFFFFF"/>
            <w:vAlign w:val="center"/>
          </w:tcPr>
          <w:p w14:paraId="124C7FD0">
            <w:pPr>
              <w:keepNext w:val="0"/>
              <w:keepLines w:val="0"/>
              <w:widowControl/>
              <w:suppressLineNumbers w:val="0"/>
              <w:jc w:val="center"/>
              <w:rPr>
                <w:rFonts w:hint="default" w:ascii="仿宋" w:hAnsi="仿宋" w:eastAsia="仿宋" w:cs="仿宋"/>
                <w:b w:val="0"/>
                <w:bCs/>
                <w:i w:val="0"/>
                <w:color w:val="000000"/>
                <w:sz w:val="28"/>
                <w:szCs w:val="28"/>
                <w:vertAlign w:val="baseline"/>
                <w:lang w:val="en-US" w:eastAsia="zh-CN"/>
              </w:rPr>
            </w:pPr>
            <w:r>
              <w:rPr>
                <w:rFonts w:hint="eastAsia" w:ascii="仿宋" w:hAnsi="仿宋" w:eastAsia="仿宋" w:cs="仿宋"/>
                <w:b w:val="0"/>
                <w:bCs/>
                <w:i w:val="0"/>
                <w:color w:val="000000"/>
                <w:sz w:val="28"/>
                <w:szCs w:val="28"/>
                <w:vertAlign w:val="baseline"/>
                <w:lang w:val="en-US" w:eastAsia="zh-CN"/>
              </w:rPr>
              <w:t>1</w:t>
            </w:r>
          </w:p>
        </w:tc>
        <w:tc>
          <w:tcPr>
            <w:tcW w:w="2446" w:type="dxa"/>
            <w:tcBorders>
              <w:top w:val="single" w:color="auto" w:sz="4" w:space="0"/>
              <w:left w:val="single" w:color="auto" w:sz="4" w:space="0"/>
              <w:bottom w:val="single" w:color="auto" w:sz="4" w:space="0"/>
              <w:right w:val="single" w:color="auto" w:sz="4" w:space="0"/>
            </w:tcBorders>
            <w:shd w:val="clear" w:color="auto" w:fill="FFFFFF"/>
            <w:vAlign w:val="center"/>
          </w:tcPr>
          <w:p w14:paraId="4C9DF834">
            <w:pPr>
              <w:keepNext w:val="0"/>
              <w:keepLines w:val="0"/>
              <w:widowControl/>
              <w:suppressLineNumbers w:val="0"/>
              <w:spacing w:line="480" w:lineRule="auto"/>
              <w:jc w:val="center"/>
              <w:rPr>
                <w:rFonts w:hint="default" w:ascii="仿宋" w:hAnsi="仿宋" w:eastAsia="仿宋" w:cs="仿宋"/>
                <w:b w:val="0"/>
                <w:bCs/>
                <w:i w:val="0"/>
                <w:color w:val="000000"/>
                <w:sz w:val="28"/>
                <w:szCs w:val="28"/>
                <w:vertAlign w:val="baseline"/>
                <w:lang w:val="en-US" w:eastAsia="zh-CN"/>
              </w:rPr>
            </w:pPr>
            <w:r>
              <w:rPr>
                <w:rFonts w:hint="eastAsia" w:ascii="仿宋" w:hAnsi="仿宋" w:eastAsia="仿宋" w:cs="仿宋"/>
                <w:b w:val="0"/>
                <w:bCs/>
                <w:i w:val="0"/>
                <w:color w:val="000000"/>
                <w:sz w:val="24"/>
                <w:szCs w:val="24"/>
                <w:vertAlign w:val="baseline"/>
                <w:lang w:val="en-US" w:eastAsia="zh-CN"/>
              </w:rPr>
              <w:t>标书制作（含装订）</w:t>
            </w:r>
          </w:p>
        </w:tc>
        <w:tc>
          <w:tcPr>
            <w:tcW w:w="2325" w:type="dxa"/>
            <w:tcBorders>
              <w:top w:val="single" w:color="auto" w:sz="4" w:space="0"/>
              <w:left w:val="single" w:color="auto" w:sz="4" w:space="0"/>
              <w:bottom w:val="single" w:color="auto" w:sz="4" w:space="0"/>
              <w:right w:val="single" w:color="auto" w:sz="4" w:space="0"/>
            </w:tcBorders>
            <w:shd w:val="clear" w:color="auto" w:fill="FFFFFF"/>
            <w:vAlign w:val="center"/>
          </w:tcPr>
          <w:p w14:paraId="4BCDFA11">
            <w:pPr>
              <w:keepNext w:val="0"/>
              <w:keepLines w:val="0"/>
              <w:widowControl/>
              <w:suppressLineNumbers w:val="0"/>
              <w:spacing w:line="480" w:lineRule="auto"/>
              <w:jc w:val="center"/>
              <w:rPr>
                <w:rFonts w:hint="default" w:ascii="仿宋" w:hAnsi="仿宋" w:eastAsia="仿宋" w:cs="仿宋"/>
                <w:b w:val="0"/>
                <w:bCs/>
                <w:i w:val="0"/>
                <w:color w:val="000000"/>
                <w:sz w:val="24"/>
                <w:szCs w:val="24"/>
                <w:vertAlign w:val="baseline"/>
                <w:lang w:val="en-US" w:eastAsia="zh-CN"/>
              </w:rPr>
            </w:pPr>
            <w:r>
              <w:rPr>
                <w:rFonts w:hint="eastAsia" w:ascii="仿宋" w:hAnsi="仿宋" w:eastAsia="仿宋" w:cs="仿宋"/>
                <w:b w:val="0"/>
                <w:bCs/>
                <w:i w:val="0"/>
                <w:color w:val="000000"/>
                <w:sz w:val="24"/>
                <w:szCs w:val="24"/>
                <w:vertAlign w:val="baseline"/>
                <w:lang w:val="en-US" w:eastAsia="zh-CN"/>
              </w:rPr>
              <w:t>项</w:t>
            </w:r>
          </w:p>
        </w:tc>
        <w:tc>
          <w:tcPr>
            <w:tcW w:w="2842" w:type="dxa"/>
            <w:tcBorders>
              <w:top w:val="single" w:color="auto" w:sz="4" w:space="0"/>
              <w:left w:val="single" w:color="auto" w:sz="4" w:space="0"/>
              <w:bottom w:val="single" w:color="auto" w:sz="4" w:space="0"/>
              <w:right w:val="single" w:color="auto" w:sz="4" w:space="0"/>
            </w:tcBorders>
            <w:shd w:val="clear" w:color="auto" w:fill="FFFFFF"/>
            <w:vAlign w:val="center"/>
          </w:tcPr>
          <w:p w14:paraId="5E308E8D">
            <w:pPr>
              <w:keepNext w:val="0"/>
              <w:keepLines w:val="0"/>
              <w:widowControl/>
              <w:suppressLineNumbers w:val="0"/>
              <w:spacing w:line="480" w:lineRule="auto"/>
              <w:jc w:val="center"/>
              <w:rPr>
                <w:rFonts w:hint="default" w:ascii="仿宋" w:hAnsi="仿宋" w:eastAsia="仿宋" w:cs="仿宋"/>
                <w:b w:val="0"/>
                <w:bCs/>
                <w:i w:val="0"/>
                <w:color w:val="000000"/>
                <w:sz w:val="24"/>
                <w:szCs w:val="24"/>
                <w:vertAlign w:val="baseline"/>
                <w:lang w:val="en-US" w:eastAsia="zh-CN"/>
              </w:rPr>
            </w:pPr>
            <w:r>
              <w:rPr>
                <w:rFonts w:hint="eastAsia" w:ascii="仿宋" w:hAnsi="仿宋" w:eastAsia="仿宋" w:cs="仿宋"/>
                <w:b w:val="0"/>
                <w:bCs w:val="0"/>
                <w:sz w:val="28"/>
                <w:szCs w:val="28"/>
                <w:lang w:val="en-US" w:eastAsia="zh-CN"/>
              </w:rPr>
              <w:t>2000元</w:t>
            </w:r>
          </w:p>
        </w:tc>
      </w:tr>
    </w:tbl>
    <w:p w14:paraId="412B944B">
      <w:pPr>
        <w:ind w:firstLine="480"/>
        <w:rPr>
          <w:rFonts w:hint="default" w:cstheme="minorBidi"/>
          <w:b w:val="0"/>
          <w:bCs w:val="0"/>
          <w:sz w:val="24"/>
          <w:szCs w:val="24"/>
          <w:lang w:val="en-US" w:eastAsia="zh-CN"/>
        </w:rPr>
      </w:pPr>
      <w:r>
        <w:rPr>
          <w:rFonts w:hint="default" w:cstheme="minorBidi"/>
          <w:b w:val="0"/>
          <w:bCs w:val="0"/>
          <w:sz w:val="24"/>
          <w:szCs w:val="24"/>
          <w:lang w:val="en-US" w:eastAsia="zh-CN"/>
        </w:rPr>
        <w:t>备注：包括但不限于招标信息搜集、报名咨询、标书编制、内部审核对接、装订封装、投标递交及后续协调等全过程服务。</w:t>
      </w:r>
    </w:p>
    <w:p w14:paraId="3EE35F55">
      <w:pPr>
        <w:pStyle w:val="6"/>
        <w:keepNext w:val="0"/>
        <w:keepLines w:val="0"/>
        <w:pageBreakBefore w:val="0"/>
        <w:widowControl w:val="0"/>
        <w:kinsoku/>
        <w:wordWrap/>
        <w:overflowPunct/>
        <w:topLinePunct w:val="0"/>
        <w:autoSpaceDE/>
        <w:autoSpaceDN/>
        <w:bidi w:val="0"/>
        <w:adjustRightInd/>
        <w:snapToGrid/>
        <w:spacing w:after="0"/>
        <w:ind w:firstLine="562" w:firstLineChars="200"/>
        <w:textAlignment w:val="auto"/>
        <w:rPr>
          <w:rFonts w:hint="eastAsia" w:ascii="宋体" w:hAnsi="宋体" w:eastAsia="宋体" w:cstheme="minorBidi"/>
          <w:b/>
          <w:bCs/>
          <w:sz w:val="28"/>
          <w:szCs w:val="22"/>
          <w:lang w:val="en-US" w:eastAsia="zh-CN"/>
        </w:rPr>
      </w:pPr>
      <w:r>
        <w:rPr>
          <w:rFonts w:hint="eastAsia" w:cstheme="minorBidi"/>
          <w:b/>
          <w:bCs/>
          <w:sz w:val="28"/>
          <w:szCs w:val="22"/>
          <w:lang w:val="en-US" w:eastAsia="zh-CN"/>
        </w:rPr>
        <w:t>三、</w:t>
      </w:r>
      <w:r>
        <w:rPr>
          <w:rFonts w:hint="eastAsia" w:ascii="宋体" w:hAnsi="宋体" w:eastAsia="宋体" w:cstheme="minorBidi"/>
          <w:b/>
          <w:bCs/>
          <w:sz w:val="28"/>
          <w:szCs w:val="22"/>
          <w:lang w:val="en-US" w:eastAsia="zh-CN"/>
        </w:rPr>
        <w:t>申请人参加本次比选活动，应当具备下列条件：</w:t>
      </w:r>
    </w:p>
    <w:p w14:paraId="30C181CD">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0F1BF62F">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0EDA0703">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53298CD4">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36D55590">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3B8795D4">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3F3274AF">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1D54DA8A">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18DB086B">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691B7C6A">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本项目不接受联合体参加比选。</w:t>
      </w:r>
    </w:p>
    <w:p w14:paraId="381D1B85">
      <w:pPr>
        <w:keepNext w:val="0"/>
        <w:keepLines w:val="0"/>
        <w:pageBreakBefore w:val="0"/>
        <w:widowControl w:val="0"/>
        <w:kinsoku/>
        <w:wordWrap/>
        <w:overflowPunct/>
        <w:topLinePunct w:val="0"/>
        <w:autoSpaceDE/>
        <w:autoSpaceDN/>
        <w:bidi w:val="0"/>
        <w:adjustRightInd/>
        <w:snapToGrid/>
        <w:spacing w:before="0" w:after="0"/>
        <w:ind w:left="0" w:leftChars="0" w:firstLine="281" w:firstLineChars="100"/>
        <w:textAlignment w:val="auto"/>
        <w:rPr>
          <w:rFonts w:hint="default" w:ascii="宋体" w:hAnsi="宋体" w:eastAsia="宋体" w:cstheme="minorBidi"/>
          <w:b/>
          <w:bCs/>
          <w:sz w:val="28"/>
          <w:szCs w:val="22"/>
          <w:lang w:eastAsia="zh-CN"/>
        </w:rPr>
      </w:pPr>
      <w:r>
        <w:rPr>
          <w:rFonts w:hint="default" w:ascii="宋体" w:hAnsi="宋体" w:eastAsia="宋体" w:cstheme="minorBidi"/>
          <w:b/>
          <w:bCs/>
          <w:sz w:val="28"/>
          <w:szCs w:val="22"/>
          <w:lang w:eastAsia="zh-CN"/>
        </w:rPr>
        <w:t>★</w:t>
      </w:r>
      <w:r>
        <w:rPr>
          <w:rFonts w:hint="default" w:cstheme="minorBidi"/>
          <w:b/>
          <w:bCs/>
          <w:sz w:val="28"/>
          <w:szCs w:val="22"/>
          <w:lang w:val="en-US" w:eastAsia="zh-CN"/>
        </w:rPr>
        <w:t>四</w:t>
      </w:r>
      <w:r>
        <w:rPr>
          <w:rFonts w:hint="default" w:ascii="宋体" w:hAnsi="宋体" w:eastAsia="宋体" w:cstheme="minorBidi"/>
          <w:b/>
          <w:bCs/>
          <w:sz w:val="28"/>
          <w:szCs w:val="22"/>
          <w:lang w:val="en-US" w:eastAsia="zh-CN"/>
        </w:rPr>
        <w:t>、</w:t>
      </w:r>
      <w:r>
        <w:rPr>
          <w:rFonts w:hint="default" w:ascii="宋体" w:hAnsi="宋体" w:eastAsia="宋体" w:cstheme="minorBidi"/>
          <w:b/>
          <w:bCs/>
          <w:sz w:val="28"/>
          <w:szCs w:val="22"/>
          <w:lang w:eastAsia="zh-CN"/>
        </w:rPr>
        <w:t>商务要求</w:t>
      </w:r>
    </w:p>
    <w:p w14:paraId="65F5E108">
      <w:pPr>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firstLine="720" w:firstLineChars="300"/>
        <w:textAlignment w:val="auto"/>
        <w:rPr>
          <w:rFonts w:hint="default" w:ascii="宋体" w:hAnsi="宋体" w:eastAsia="宋体" w:cs="宋体"/>
          <w:sz w:val="24"/>
          <w:szCs w:val="24"/>
          <w:lang w:val="en-US" w:eastAsia="zh-CN"/>
        </w:rPr>
      </w:pPr>
      <w:r>
        <w:rPr>
          <w:rFonts w:hint="eastAsia" w:ascii="宋体" w:hAnsi="宋体" w:eastAsia="宋体" w:cs="宋体"/>
          <w:bCs/>
          <w:sz w:val="24"/>
          <w:szCs w:val="22"/>
        </w:rPr>
        <w:t>付款方法和条件</w:t>
      </w:r>
      <w:r>
        <w:rPr>
          <w:rFonts w:hint="eastAsia" w:cs="宋体"/>
          <w:bCs/>
          <w:sz w:val="24"/>
          <w:szCs w:val="22"/>
          <w:lang w:eastAsia="zh-CN"/>
        </w:rPr>
        <w:t>：</w:t>
      </w:r>
      <w:r>
        <w:rPr>
          <w:rFonts w:hint="eastAsia" w:cs="宋体"/>
          <w:bCs/>
          <w:sz w:val="24"/>
          <w:szCs w:val="22"/>
          <w:lang w:val="en-US" w:eastAsia="zh-CN"/>
        </w:rPr>
        <w:t>每完成一个项目后，供应商需提供费用清单，</w:t>
      </w:r>
      <w:r>
        <w:rPr>
          <w:rFonts w:hint="eastAsia" w:ascii="宋体" w:hAnsi="宋体" w:eastAsia="宋体" w:cs="宋体"/>
          <w:bCs/>
          <w:sz w:val="24"/>
          <w:szCs w:val="22"/>
        </w:rPr>
        <w:t>经</w:t>
      </w:r>
      <w:r>
        <w:rPr>
          <w:rFonts w:hint="eastAsia" w:cs="宋体"/>
          <w:bCs/>
          <w:sz w:val="24"/>
          <w:szCs w:val="22"/>
          <w:lang w:val="en-US" w:eastAsia="zh-CN"/>
        </w:rPr>
        <w:t>采购人</w:t>
      </w:r>
      <w:r>
        <w:rPr>
          <w:rFonts w:hint="eastAsia" w:ascii="宋体" w:hAnsi="宋体" w:eastAsia="宋体" w:cs="宋体"/>
          <w:bCs/>
          <w:sz w:val="24"/>
          <w:szCs w:val="22"/>
        </w:rPr>
        <w:t>审查无误后</w:t>
      </w:r>
      <w:r>
        <w:rPr>
          <w:rFonts w:hint="eastAsia" w:ascii="宋体" w:hAnsi="宋体" w:eastAsia="宋体" w:cs="宋体"/>
          <w:bCs/>
          <w:sz w:val="24"/>
          <w:szCs w:val="22"/>
          <w:lang w:eastAsia="zh-CN"/>
        </w:rPr>
        <w:t>，</w:t>
      </w:r>
      <w:r>
        <w:rPr>
          <w:rFonts w:hint="eastAsia" w:cs="宋体"/>
          <w:bCs/>
          <w:sz w:val="24"/>
          <w:szCs w:val="22"/>
          <w:lang w:val="en-US" w:eastAsia="zh-CN"/>
        </w:rPr>
        <w:t>供应商</w:t>
      </w:r>
      <w:r>
        <w:rPr>
          <w:rFonts w:hint="eastAsia" w:ascii="宋体" w:hAnsi="宋体" w:eastAsia="宋体" w:cs="宋体"/>
          <w:bCs/>
          <w:sz w:val="24"/>
          <w:szCs w:val="22"/>
        </w:rPr>
        <w:t>需向</w:t>
      </w:r>
      <w:r>
        <w:rPr>
          <w:rFonts w:hint="eastAsia"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后，</w:t>
      </w:r>
      <w:r>
        <w:rPr>
          <w:rFonts w:hint="eastAsia" w:cs="宋体"/>
          <w:bCs/>
          <w:sz w:val="24"/>
          <w:szCs w:val="22"/>
          <w:lang w:val="en-US" w:eastAsia="zh-CN"/>
        </w:rPr>
        <w:t>采购人</w:t>
      </w:r>
      <w:r>
        <w:rPr>
          <w:rFonts w:hint="eastAsia" w:ascii="宋体" w:hAnsi="宋体" w:eastAsia="宋体" w:cs="宋体"/>
          <w:bCs/>
          <w:sz w:val="24"/>
          <w:szCs w:val="22"/>
        </w:rPr>
        <w:t>将款</w:t>
      </w:r>
      <w:r>
        <w:rPr>
          <w:rFonts w:hint="eastAsia" w:ascii="宋体" w:hAnsi="宋体" w:eastAsia="宋体" w:cs="宋体"/>
          <w:bCs/>
          <w:sz w:val="24"/>
          <w:szCs w:val="22"/>
          <w:lang w:val="en-US" w:eastAsia="zh-CN"/>
        </w:rPr>
        <w:t>项据实</w:t>
      </w:r>
      <w:r>
        <w:rPr>
          <w:rFonts w:hint="eastAsia" w:ascii="宋体" w:hAnsi="宋体" w:eastAsia="宋体" w:cs="宋体"/>
          <w:bCs/>
          <w:sz w:val="24"/>
          <w:szCs w:val="22"/>
        </w:rPr>
        <w:t>支付给</w:t>
      </w:r>
      <w:r>
        <w:rPr>
          <w:rFonts w:hint="eastAsia" w:cs="宋体"/>
          <w:bCs/>
          <w:sz w:val="24"/>
          <w:szCs w:val="22"/>
          <w:lang w:val="en-US" w:eastAsia="zh-CN"/>
        </w:rPr>
        <w:t>供应商。</w:t>
      </w:r>
    </w:p>
    <w:p w14:paraId="4B6B8083">
      <w:pPr>
        <w:pStyle w:val="6"/>
        <w:bidi w:val="0"/>
        <w:rPr>
          <w:rFonts w:hint="default"/>
          <w:lang w:val="en-US" w:eastAsia="zh-CN"/>
        </w:rPr>
      </w:pPr>
    </w:p>
    <w:p w14:paraId="15769601">
      <w:pPr>
        <w:pStyle w:val="6"/>
        <w:bidi w:val="0"/>
        <w:ind w:left="0" w:leftChars="0" w:firstLine="281" w:firstLineChars="100"/>
        <w:rPr>
          <w:rFonts w:hint="default" w:ascii="宋体" w:hAnsi="宋体" w:eastAsia="宋体"/>
          <w:b/>
          <w:bCs/>
          <w:lang w:val="en-US" w:eastAsia="zh-CN"/>
        </w:rPr>
      </w:pPr>
      <w:r>
        <w:rPr>
          <w:rFonts w:hint="eastAsia"/>
          <w:b/>
          <w:bCs/>
          <w:lang w:val="en-US" w:eastAsia="zh-CN"/>
        </w:rPr>
        <w:t>五</w:t>
      </w:r>
      <w:r>
        <w:rPr>
          <w:rFonts w:hint="eastAsia" w:ascii="宋体" w:hAnsi="宋体" w:eastAsia="宋体"/>
          <w:b/>
          <w:bCs/>
          <w:lang w:val="en-US" w:eastAsia="zh-CN"/>
        </w:rPr>
        <w:t>、综合评分明细表</w:t>
      </w:r>
    </w:p>
    <w:tbl>
      <w:tblPr>
        <w:tblStyle w:val="11"/>
        <w:tblW w:w="8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294"/>
        <w:gridCol w:w="1082"/>
        <w:gridCol w:w="2941"/>
        <w:gridCol w:w="2375"/>
      </w:tblGrid>
      <w:tr w14:paraId="281EB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622" w:type="dxa"/>
            <w:textDirection w:val="tbRlV"/>
            <w:vAlign w:val="top"/>
          </w:tcPr>
          <w:p w14:paraId="528AA1C1">
            <w:pPr>
              <w:pStyle w:val="10"/>
              <w:spacing w:before="167" w:line="211" w:lineRule="auto"/>
              <w:ind w:left="239"/>
            </w:pPr>
            <w:r>
              <w:t>序</w:t>
            </w:r>
            <w:r>
              <w:rPr>
                <w:spacing w:val="31"/>
              </w:rPr>
              <w:t xml:space="preserve">  </w:t>
            </w:r>
            <w:r>
              <w:t>号</w:t>
            </w:r>
          </w:p>
        </w:tc>
        <w:tc>
          <w:tcPr>
            <w:tcW w:w="1294" w:type="dxa"/>
            <w:vAlign w:val="top"/>
          </w:tcPr>
          <w:p w14:paraId="3FCCC636">
            <w:pPr>
              <w:spacing w:line="457" w:lineRule="auto"/>
              <w:rPr>
                <w:rFonts w:ascii="Arial"/>
                <w:sz w:val="21"/>
              </w:rPr>
            </w:pPr>
          </w:p>
          <w:p w14:paraId="3A1A34A5">
            <w:pPr>
              <w:pStyle w:val="10"/>
              <w:spacing w:before="91" w:line="221" w:lineRule="auto"/>
              <w:ind w:left="93"/>
            </w:pPr>
            <w:r>
              <w:rPr>
                <w:spacing w:val="-3"/>
              </w:rPr>
              <w:t>评分项目</w:t>
            </w:r>
          </w:p>
        </w:tc>
        <w:tc>
          <w:tcPr>
            <w:tcW w:w="1082" w:type="dxa"/>
            <w:vAlign w:val="top"/>
          </w:tcPr>
          <w:p w14:paraId="709C00DC">
            <w:pPr>
              <w:spacing w:line="457" w:lineRule="auto"/>
              <w:rPr>
                <w:rFonts w:ascii="Arial"/>
                <w:sz w:val="21"/>
              </w:rPr>
            </w:pPr>
          </w:p>
          <w:p w14:paraId="417F5DD2">
            <w:pPr>
              <w:pStyle w:val="10"/>
              <w:spacing w:before="91" w:line="220" w:lineRule="auto"/>
              <w:ind w:left="272"/>
            </w:pPr>
            <w:r>
              <w:rPr>
                <w:spacing w:val="-7"/>
              </w:rPr>
              <w:t>分值</w:t>
            </w:r>
          </w:p>
        </w:tc>
        <w:tc>
          <w:tcPr>
            <w:tcW w:w="2941" w:type="dxa"/>
            <w:vAlign w:val="top"/>
          </w:tcPr>
          <w:p w14:paraId="6C6B88D9">
            <w:pPr>
              <w:spacing w:line="457" w:lineRule="auto"/>
              <w:rPr>
                <w:rFonts w:ascii="Arial"/>
                <w:sz w:val="21"/>
              </w:rPr>
            </w:pPr>
          </w:p>
          <w:p w14:paraId="6E859BFA">
            <w:pPr>
              <w:pStyle w:val="10"/>
              <w:spacing w:before="91" w:line="221" w:lineRule="auto"/>
              <w:jc w:val="center"/>
            </w:pPr>
            <w:r>
              <w:rPr>
                <w:spacing w:val="-3"/>
              </w:rPr>
              <w:t>评审标准</w:t>
            </w:r>
          </w:p>
        </w:tc>
        <w:tc>
          <w:tcPr>
            <w:tcW w:w="2375" w:type="dxa"/>
            <w:vAlign w:val="top"/>
          </w:tcPr>
          <w:p w14:paraId="0760DCF1">
            <w:pPr>
              <w:pStyle w:val="10"/>
              <w:spacing w:before="238" w:line="375" w:lineRule="auto"/>
              <w:ind w:left="1002" w:right="147" w:hanging="824"/>
              <w:jc w:val="center"/>
              <w:rPr>
                <w:spacing w:val="-4"/>
              </w:rPr>
            </w:pPr>
            <w:r>
              <w:rPr>
                <w:spacing w:val="-4"/>
              </w:rPr>
              <w:t>需提供的证明</w:t>
            </w:r>
          </w:p>
          <w:p w14:paraId="50A606CF">
            <w:pPr>
              <w:pStyle w:val="10"/>
              <w:spacing w:before="238" w:line="375" w:lineRule="auto"/>
              <w:ind w:left="1002" w:right="147" w:hanging="824"/>
              <w:jc w:val="center"/>
            </w:pPr>
            <w:r>
              <w:rPr>
                <w:spacing w:val="-4"/>
              </w:rPr>
              <w:t>材</w:t>
            </w:r>
            <w:r>
              <w:t>料</w:t>
            </w:r>
          </w:p>
        </w:tc>
      </w:tr>
      <w:tr w14:paraId="5FF10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top"/>
          </w:tcPr>
          <w:p w14:paraId="35308BD7">
            <w:pPr>
              <w:spacing w:line="277" w:lineRule="auto"/>
              <w:rPr>
                <w:rFonts w:ascii="Arial"/>
                <w:sz w:val="21"/>
              </w:rPr>
            </w:pPr>
          </w:p>
          <w:p w14:paraId="0B7A0D83">
            <w:pPr>
              <w:spacing w:line="277" w:lineRule="auto"/>
              <w:rPr>
                <w:rFonts w:ascii="Arial"/>
                <w:sz w:val="21"/>
              </w:rPr>
            </w:pPr>
          </w:p>
          <w:p w14:paraId="1F61ED76">
            <w:pPr>
              <w:spacing w:line="277" w:lineRule="auto"/>
              <w:rPr>
                <w:rFonts w:ascii="Arial"/>
                <w:sz w:val="21"/>
              </w:rPr>
            </w:pPr>
          </w:p>
          <w:p w14:paraId="24295881">
            <w:pPr>
              <w:spacing w:line="277" w:lineRule="auto"/>
              <w:rPr>
                <w:rFonts w:ascii="Arial"/>
                <w:sz w:val="21"/>
              </w:rPr>
            </w:pPr>
          </w:p>
          <w:p w14:paraId="11DB2276">
            <w:pPr>
              <w:spacing w:line="277" w:lineRule="auto"/>
              <w:rPr>
                <w:rFonts w:ascii="Arial"/>
                <w:sz w:val="21"/>
              </w:rPr>
            </w:pPr>
          </w:p>
          <w:p w14:paraId="739E7008">
            <w:pPr>
              <w:pStyle w:val="10"/>
              <w:spacing w:before="91" w:line="242" w:lineRule="auto"/>
              <w:ind w:left="269"/>
            </w:pPr>
            <w:r>
              <w:t>1</w:t>
            </w:r>
          </w:p>
        </w:tc>
        <w:tc>
          <w:tcPr>
            <w:tcW w:w="1294" w:type="dxa"/>
            <w:vAlign w:val="top"/>
          </w:tcPr>
          <w:p w14:paraId="7A81A5E2">
            <w:pPr>
              <w:spacing w:line="277" w:lineRule="auto"/>
              <w:rPr>
                <w:rFonts w:ascii="Arial"/>
                <w:sz w:val="21"/>
              </w:rPr>
            </w:pPr>
          </w:p>
          <w:p w14:paraId="3007DEEF">
            <w:pPr>
              <w:spacing w:line="277" w:lineRule="auto"/>
              <w:rPr>
                <w:rFonts w:ascii="Arial"/>
                <w:sz w:val="21"/>
              </w:rPr>
            </w:pPr>
          </w:p>
          <w:p w14:paraId="2D434F2D">
            <w:pPr>
              <w:spacing w:line="277" w:lineRule="auto"/>
              <w:rPr>
                <w:rFonts w:ascii="Arial"/>
                <w:sz w:val="21"/>
              </w:rPr>
            </w:pPr>
          </w:p>
          <w:p w14:paraId="64F5BEA2">
            <w:pPr>
              <w:spacing w:line="277" w:lineRule="auto"/>
              <w:rPr>
                <w:rFonts w:ascii="Arial"/>
                <w:sz w:val="21"/>
              </w:rPr>
            </w:pPr>
          </w:p>
          <w:p w14:paraId="726D1087">
            <w:pPr>
              <w:spacing w:line="277" w:lineRule="auto"/>
              <w:rPr>
                <w:rFonts w:ascii="Arial"/>
                <w:sz w:val="21"/>
              </w:rPr>
            </w:pPr>
          </w:p>
          <w:p w14:paraId="39C5C3A3">
            <w:pPr>
              <w:pStyle w:val="10"/>
              <w:spacing w:before="91" w:line="219" w:lineRule="auto"/>
              <w:ind w:left="234"/>
            </w:pPr>
            <w:r>
              <w:rPr>
                <w:spacing w:val="-4"/>
              </w:rPr>
              <w:t>价格分</w:t>
            </w:r>
          </w:p>
        </w:tc>
        <w:tc>
          <w:tcPr>
            <w:tcW w:w="1082" w:type="dxa"/>
            <w:vAlign w:val="top"/>
          </w:tcPr>
          <w:p w14:paraId="498AF93D">
            <w:pPr>
              <w:spacing w:line="277" w:lineRule="auto"/>
              <w:rPr>
                <w:rFonts w:ascii="Arial"/>
                <w:sz w:val="21"/>
              </w:rPr>
            </w:pPr>
          </w:p>
          <w:p w14:paraId="0FD08681">
            <w:pPr>
              <w:spacing w:line="277" w:lineRule="auto"/>
              <w:rPr>
                <w:rFonts w:ascii="Arial"/>
                <w:sz w:val="21"/>
              </w:rPr>
            </w:pPr>
          </w:p>
          <w:p w14:paraId="22621B5A">
            <w:pPr>
              <w:spacing w:line="277" w:lineRule="auto"/>
              <w:rPr>
                <w:rFonts w:ascii="Arial"/>
                <w:sz w:val="21"/>
              </w:rPr>
            </w:pPr>
          </w:p>
          <w:p w14:paraId="26BDB7AF">
            <w:pPr>
              <w:spacing w:line="277" w:lineRule="auto"/>
              <w:rPr>
                <w:rFonts w:ascii="Arial"/>
                <w:sz w:val="21"/>
              </w:rPr>
            </w:pPr>
          </w:p>
          <w:p w14:paraId="03FC0763">
            <w:pPr>
              <w:spacing w:line="278" w:lineRule="auto"/>
              <w:rPr>
                <w:rFonts w:ascii="Arial"/>
                <w:sz w:val="21"/>
              </w:rPr>
            </w:pPr>
          </w:p>
          <w:p w14:paraId="7C632280">
            <w:pPr>
              <w:pStyle w:val="10"/>
              <w:spacing w:before="91" w:line="221" w:lineRule="auto"/>
              <w:ind w:left="217"/>
            </w:pPr>
            <w:r>
              <w:rPr>
                <w:spacing w:val="-10"/>
              </w:rPr>
              <w:t>1</w:t>
            </w:r>
            <w:r>
              <w:rPr>
                <w:rFonts w:hint="eastAsia"/>
                <w:spacing w:val="-10"/>
                <w:lang w:val="en-US" w:eastAsia="zh-CN"/>
              </w:rPr>
              <w:t>2</w:t>
            </w:r>
            <w:r>
              <w:rPr>
                <w:spacing w:val="12"/>
              </w:rPr>
              <w:t xml:space="preserve"> </w:t>
            </w:r>
            <w:r>
              <w:rPr>
                <w:spacing w:val="-10"/>
              </w:rPr>
              <w:t>分</w:t>
            </w:r>
          </w:p>
        </w:tc>
        <w:tc>
          <w:tcPr>
            <w:tcW w:w="2941" w:type="dxa"/>
            <w:vAlign w:val="top"/>
          </w:tcPr>
          <w:p w14:paraId="2400AC02">
            <w:pPr>
              <w:pStyle w:val="10"/>
              <w:spacing w:before="241" w:line="480" w:lineRule="auto"/>
              <w:ind w:left="70" w:right="53" w:hanging="4"/>
              <w:jc w:val="both"/>
            </w:pPr>
            <w:r>
              <w:rPr>
                <w:spacing w:val="-2"/>
                <w:sz w:val="24"/>
                <w:szCs w:val="24"/>
              </w:rPr>
              <w:t>以有效投标文件</w:t>
            </w:r>
            <w:r>
              <w:rPr>
                <w:spacing w:val="-3"/>
                <w:sz w:val="24"/>
                <w:szCs w:val="24"/>
              </w:rPr>
              <w:t>中的最低报价为基准价，其他投标报价按</w:t>
            </w:r>
            <w:r>
              <w:rPr>
                <w:spacing w:val="-5"/>
                <w:sz w:val="24"/>
                <w:szCs w:val="24"/>
              </w:rPr>
              <w:t>（基准价/投标报价）</w:t>
            </w:r>
            <w:r>
              <w:rPr>
                <w:spacing w:val="-82"/>
                <w:sz w:val="24"/>
                <w:szCs w:val="24"/>
              </w:rPr>
              <w:t xml:space="preserve"> </w:t>
            </w:r>
            <w:r>
              <w:rPr>
                <w:spacing w:val="-5"/>
                <w:sz w:val="24"/>
                <w:szCs w:val="24"/>
              </w:rPr>
              <w:t>×1</w:t>
            </w:r>
            <w:r>
              <w:rPr>
                <w:rFonts w:hint="eastAsia"/>
                <w:spacing w:val="-5"/>
                <w:sz w:val="24"/>
                <w:szCs w:val="24"/>
                <w:lang w:val="en-US" w:eastAsia="zh-CN"/>
              </w:rPr>
              <w:t>2</w:t>
            </w:r>
            <w:r>
              <w:rPr>
                <w:spacing w:val="-57"/>
                <w:sz w:val="24"/>
                <w:szCs w:val="24"/>
              </w:rPr>
              <w:t xml:space="preserve"> </w:t>
            </w:r>
            <w:r>
              <w:rPr>
                <w:spacing w:val="-5"/>
                <w:sz w:val="24"/>
                <w:szCs w:val="24"/>
              </w:rPr>
              <w:t>分计算得</w:t>
            </w:r>
            <w:r>
              <w:rPr>
                <w:spacing w:val="-2"/>
                <w:sz w:val="24"/>
                <w:szCs w:val="24"/>
              </w:rPr>
              <w:t>分，保留两位小数。</w:t>
            </w:r>
          </w:p>
        </w:tc>
        <w:tc>
          <w:tcPr>
            <w:tcW w:w="2375" w:type="dxa"/>
            <w:vAlign w:val="top"/>
          </w:tcPr>
          <w:p w14:paraId="05B3FCC1">
            <w:pPr>
              <w:pStyle w:val="10"/>
              <w:spacing w:before="236" w:line="414" w:lineRule="auto"/>
              <w:ind w:left="70" w:right="241" w:firstLine="1"/>
              <w:jc w:val="center"/>
            </w:pPr>
            <w:r>
              <w:rPr>
                <w:spacing w:val="-2"/>
                <w:sz w:val="24"/>
                <w:szCs w:val="24"/>
              </w:rPr>
              <w:t>完整的投标报价函及价格构成明</w:t>
            </w:r>
            <w:r>
              <w:rPr>
                <w:sz w:val="24"/>
                <w:szCs w:val="24"/>
              </w:rPr>
              <w:t>细</w:t>
            </w:r>
          </w:p>
        </w:tc>
      </w:tr>
      <w:tr w14:paraId="5F67F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622" w:type="dxa"/>
            <w:vAlign w:val="top"/>
          </w:tcPr>
          <w:p w14:paraId="4FC59C0F">
            <w:pPr>
              <w:spacing w:line="277" w:lineRule="auto"/>
              <w:rPr>
                <w:rFonts w:ascii="Arial"/>
                <w:sz w:val="21"/>
              </w:rPr>
            </w:pPr>
          </w:p>
          <w:p w14:paraId="3D8AC895">
            <w:pPr>
              <w:spacing w:line="277" w:lineRule="auto"/>
              <w:rPr>
                <w:rFonts w:ascii="Arial"/>
                <w:sz w:val="21"/>
              </w:rPr>
            </w:pPr>
          </w:p>
          <w:p w14:paraId="703146D3">
            <w:pPr>
              <w:spacing w:line="278" w:lineRule="auto"/>
              <w:rPr>
                <w:rFonts w:ascii="Arial"/>
                <w:sz w:val="21"/>
              </w:rPr>
            </w:pPr>
          </w:p>
          <w:p w14:paraId="097F0BA3">
            <w:pPr>
              <w:spacing w:line="278" w:lineRule="auto"/>
              <w:rPr>
                <w:rFonts w:ascii="Arial"/>
                <w:sz w:val="21"/>
              </w:rPr>
            </w:pPr>
          </w:p>
          <w:p w14:paraId="18269F44">
            <w:pPr>
              <w:spacing w:line="278" w:lineRule="auto"/>
              <w:rPr>
                <w:rFonts w:ascii="Arial"/>
                <w:sz w:val="21"/>
              </w:rPr>
            </w:pPr>
          </w:p>
          <w:p w14:paraId="63EEE85A">
            <w:pPr>
              <w:pStyle w:val="10"/>
              <w:spacing w:before="91" w:line="242" w:lineRule="auto"/>
              <w:ind w:left="251"/>
            </w:pPr>
            <w:r>
              <w:t>2</w:t>
            </w:r>
          </w:p>
        </w:tc>
        <w:tc>
          <w:tcPr>
            <w:tcW w:w="1294" w:type="dxa"/>
            <w:vAlign w:val="top"/>
          </w:tcPr>
          <w:p w14:paraId="2F5AFFA2">
            <w:pPr>
              <w:spacing w:line="269" w:lineRule="auto"/>
              <w:rPr>
                <w:rFonts w:ascii="Arial"/>
                <w:sz w:val="21"/>
              </w:rPr>
            </w:pPr>
          </w:p>
          <w:p w14:paraId="7B7ABE6E">
            <w:pPr>
              <w:spacing w:line="269" w:lineRule="auto"/>
              <w:rPr>
                <w:rFonts w:ascii="Arial"/>
                <w:sz w:val="21"/>
              </w:rPr>
            </w:pPr>
          </w:p>
          <w:p w14:paraId="596DB36B">
            <w:pPr>
              <w:spacing w:line="270" w:lineRule="auto"/>
              <w:rPr>
                <w:rFonts w:ascii="Arial"/>
                <w:sz w:val="21"/>
              </w:rPr>
            </w:pPr>
          </w:p>
          <w:p w14:paraId="7CCC7C9B">
            <w:pPr>
              <w:spacing w:line="270" w:lineRule="auto"/>
              <w:rPr>
                <w:rFonts w:ascii="Arial"/>
                <w:sz w:val="21"/>
              </w:rPr>
            </w:pPr>
          </w:p>
          <w:p w14:paraId="44238F96">
            <w:pPr>
              <w:pStyle w:val="10"/>
              <w:spacing w:before="91" w:line="414" w:lineRule="auto"/>
              <w:ind w:left="231" w:right="84" w:hanging="134"/>
            </w:pPr>
            <w:r>
              <w:rPr>
                <w:spacing w:val="-4"/>
              </w:rPr>
              <w:t>投标代理</w:t>
            </w:r>
            <w:r>
              <w:rPr>
                <w:spacing w:val="-3"/>
              </w:rPr>
              <w:t>业绩分</w:t>
            </w:r>
          </w:p>
        </w:tc>
        <w:tc>
          <w:tcPr>
            <w:tcW w:w="1082" w:type="dxa"/>
            <w:vAlign w:val="top"/>
          </w:tcPr>
          <w:p w14:paraId="0DE3519E">
            <w:pPr>
              <w:spacing w:line="277" w:lineRule="auto"/>
              <w:rPr>
                <w:rFonts w:ascii="Arial"/>
                <w:sz w:val="21"/>
              </w:rPr>
            </w:pPr>
          </w:p>
          <w:p w14:paraId="4BE1CBE8">
            <w:pPr>
              <w:spacing w:line="277" w:lineRule="auto"/>
              <w:rPr>
                <w:rFonts w:ascii="Arial"/>
                <w:sz w:val="21"/>
              </w:rPr>
            </w:pPr>
          </w:p>
          <w:p w14:paraId="2FB15DF6">
            <w:pPr>
              <w:spacing w:line="278" w:lineRule="auto"/>
              <w:rPr>
                <w:rFonts w:ascii="Arial"/>
                <w:sz w:val="21"/>
              </w:rPr>
            </w:pPr>
          </w:p>
          <w:p w14:paraId="7854C4E0">
            <w:pPr>
              <w:spacing w:line="278" w:lineRule="auto"/>
              <w:rPr>
                <w:rFonts w:ascii="Arial"/>
                <w:sz w:val="21"/>
              </w:rPr>
            </w:pPr>
          </w:p>
          <w:p w14:paraId="688B826C">
            <w:pPr>
              <w:spacing w:line="278" w:lineRule="auto"/>
              <w:rPr>
                <w:rFonts w:ascii="Arial"/>
                <w:sz w:val="21"/>
              </w:rPr>
            </w:pPr>
          </w:p>
          <w:p w14:paraId="07E90617">
            <w:pPr>
              <w:pStyle w:val="10"/>
              <w:spacing w:before="91" w:line="221" w:lineRule="auto"/>
              <w:ind w:left="217"/>
            </w:pPr>
            <w:r>
              <w:rPr>
                <w:spacing w:val="-10"/>
              </w:rPr>
              <w:t>10</w:t>
            </w:r>
            <w:r>
              <w:rPr>
                <w:spacing w:val="12"/>
              </w:rPr>
              <w:t xml:space="preserve"> </w:t>
            </w:r>
            <w:r>
              <w:rPr>
                <w:spacing w:val="-10"/>
              </w:rPr>
              <w:t>分</w:t>
            </w:r>
          </w:p>
        </w:tc>
        <w:tc>
          <w:tcPr>
            <w:tcW w:w="2941" w:type="dxa"/>
            <w:vAlign w:val="top"/>
          </w:tcPr>
          <w:p w14:paraId="65A30915">
            <w:pPr>
              <w:pStyle w:val="10"/>
              <w:spacing w:before="243" w:line="480" w:lineRule="auto"/>
              <w:ind w:left="67" w:right="53" w:firstLine="1"/>
              <w:rPr>
                <w:sz w:val="24"/>
                <w:szCs w:val="24"/>
              </w:rPr>
            </w:pPr>
            <w:r>
              <w:rPr>
                <w:rFonts w:hint="eastAsia"/>
                <w:spacing w:val="-1"/>
                <w:sz w:val="24"/>
                <w:szCs w:val="24"/>
                <w:lang w:val="en-US" w:eastAsia="zh-CN"/>
              </w:rPr>
              <w:t>提供2023年1月至今</w:t>
            </w:r>
            <w:r>
              <w:rPr>
                <w:spacing w:val="-1"/>
                <w:sz w:val="24"/>
                <w:szCs w:val="24"/>
              </w:rPr>
              <w:t>（以合同签订时间为</w:t>
            </w:r>
            <w:r>
              <w:rPr>
                <w:spacing w:val="-2"/>
                <w:sz w:val="24"/>
                <w:szCs w:val="24"/>
              </w:rPr>
              <w:t>准）承接的投标代理服务项目业绩，</w:t>
            </w:r>
            <w:r>
              <w:rPr>
                <w:spacing w:val="-5"/>
                <w:sz w:val="24"/>
                <w:szCs w:val="24"/>
              </w:rPr>
              <w:t>每提供 1</w:t>
            </w:r>
            <w:r>
              <w:rPr>
                <w:spacing w:val="17"/>
                <w:sz w:val="24"/>
                <w:szCs w:val="24"/>
              </w:rPr>
              <w:t xml:space="preserve"> </w:t>
            </w:r>
            <w:r>
              <w:rPr>
                <w:spacing w:val="-5"/>
                <w:sz w:val="24"/>
                <w:szCs w:val="24"/>
              </w:rPr>
              <w:t>个有效业绩得</w:t>
            </w:r>
            <w:r>
              <w:rPr>
                <w:spacing w:val="15"/>
                <w:sz w:val="24"/>
                <w:szCs w:val="24"/>
              </w:rPr>
              <w:t xml:space="preserve"> </w:t>
            </w:r>
            <w:r>
              <w:rPr>
                <w:spacing w:val="-5"/>
                <w:sz w:val="24"/>
                <w:szCs w:val="24"/>
              </w:rPr>
              <w:t>5</w:t>
            </w:r>
            <w:r>
              <w:rPr>
                <w:spacing w:val="15"/>
                <w:sz w:val="24"/>
                <w:szCs w:val="24"/>
              </w:rPr>
              <w:t xml:space="preserve"> </w:t>
            </w:r>
            <w:r>
              <w:rPr>
                <w:spacing w:val="-5"/>
                <w:sz w:val="24"/>
                <w:szCs w:val="24"/>
              </w:rPr>
              <w:t>分，最多</w:t>
            </w:r>
            <w:r>
              <w:rPr>
                <w:spacing w:val="-2"/>
                <w:sz w:val="24"/>
                <w:szCs w:val="24"/>
              </w:rPr>
              <w:t>得 10</w:t>
            </w:r>
            <w:r>
              <w:rPr>
                <w:spacing w:val="21"/>
                <w:sz w:val="24"/>
                <w:szCs w:val="24"/>
              </w:rPr>
              <w:t xml:space="preserve"> </w:t>
            </w:r>
            <w:r>
              <w:rPr>
                <w:spacing w:val="-2"/>
                <w:sz w:val="24"/>
                <w:szCs w:val="24"/>
              </w:rPr>
              <w:t>分；未提供或业绩无效不得</w:t>
            </w:r>
            <w:r>
              <w:rPr>
                <w:spacing w:val="-7"/>
                <w:sz w:val="24"/>
                <w:szCs w:val="24"/>
              </w:rPr>
              <w:t>分。</w:t>
            </w:r>
          </w:p>
        </w:tc>
        <w:tc>
          <w:tcPr>
            <w:tcW w:w="2375" w:type="dxa"/>
            <w:vAlign w:val="top"/>
          </w:tcPr>
          <w:p w14:paraId="7B4C940A">
            <w:pPr>
              <w:pStyle w:val="10"/>
              <w:spacing w:before="242" w:line="396" w:lineRule="auto"/>
              <w:ind w:left="70" w:right="56" w:firstLine="3"/>
              <w:rPr>
                <w:sz w:val="24"/>
                <w:szCs w:val="24"/>
              </w:rPr>
            </w:pPr>
            <w:r>
              <w:rPr>
                <w:rFonts w:hint="eastAsia"/>
                <w:spacing w:val="-3"/>
                <w:sz w:val="24"/>
                <w:szCs w:val="24"/>
              </w:rPr>
              <w:t>供应商需提供项目业绩的合同关键页扫描件并加盖公章（至少包含首页、项目金额页、服务内容页、盖章签字页），提供项目资金往来支付凭证或银行流水证明材料。以上任一项不满足，该条业绩视为不合格。</w:t>
            </w:r>
          </w:p>
        </w:tc>
      </w:tr>
      <w:tr w14:paraId="7B86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622" w:type="dxa"/>
            <w:vAlign w:val="top"/>
          </w:tcPr>
          <w:p w14:paraId="76038A6E">
            <w:pPr>
              <w:spacing w:line="277" w:lineRule="auto"/>
              <w:rPr>
                <w:rFonts w:ascii="Arial"/>
                <w:sz w:val="21"/>
              </w:rPr>
            </w:pPr>
          </w:p>
          <w:p w14:paraId="78069187">
            <w:pPr>
              <w:spacing w:line="277" w:lineRule="auto"/>
              <w:rPr>
                <w:rFonts w:ascii="Arial"/>
                <w:sz w:val="21"/>
              </w:rPr>
            </w:pPr>
          </w:p>
          <w:p w14:paraId="37D8F8CD">
            <w:pPr>
              <w:spacing w:line="278" w:lineRule="auto"/>
              <w:rPr>
                <w:rFonts w:ascii="Arial"/>
                <w:sz w:val="21"/>
              </w:rPr>
            </w:pPr>
          </w:p>
          <w:p w14:paraId="0115B07C">
            <w:pPr>
              <w:spacing w:line="278" w:lineRule="auto"/>
              <w:rPr>
                <w:rFonts w:ascii="Arial"/>
                <w:sz w:val="21"/>
              </w:rPr>
            </w:pPr>
          </w:p>
          <w:p w14:paraId="532920EC">
            <w:pPr>
              <w:spacing w:line="278" w:lineRule="auto"/>
              <w:rPr>
                <w:rFonts w:ascii="Arial"/>
                <w:sz w:val="21"/>
              </w:rPr>
            </w:pPr>
          </w:p>
          <w:p w14:paraId="32EC1346">
            <w:pPr>
              <w:pStyle w:val="10"/>
              <w:spacing w:before="91"/>
              <w:ind w:left="253"/>
            </w:pPr>
            <w:r>
              <w:t>3</w:t>
            </w:r>
          </w:p>
        </w:tc>
        <w:tc>
          <w:tcPr>
            <w:tcW w:w="1294" w:type="dxa"/>
            <w:vAlign w:val="top"/>
          </w:tcPr>
          <w:p w14:paraId="008B9D35">
            <w:pPr>
              <w:spacing w:line="256" w:lineRule="auto"/>
              <w:rPr>
                <w:rFonts w:ascii="Arial"/>
                <w:sz w:val="21"/>
              </w:rPr>
            </w:pPr>
          </w:p>
          <w:p w14:paraId="67A9BD54">
            <w:pPr>
              <w:spacing w:line="256" w:lineRule="auto"/>
              <w:rPr>
                <w:rFonts w:ascii="Arial"/>
                <w:sz w:val="21"/>
              </w:rPr>
            </w:pPr>
          </w:p>
          <w:p w14:paraId="558E2372">
            <w:pPr>
              <w:spacing w:line="256" w:lineRule="auto"/>
              <w:rPr>
                <w:rFonts w:ascii="Arial"/>
                <w:sz w:val="21"/>
              </w:rPr>
            </w:pPr>
          </w:p>
          <w:p w14:paraId="0B94C577">
            <w:pPr>
              <w:pStyle w:val="10"/>
              <w:spacing w:before="91" w:line="219" w:lineRule="auto"/>
              <w:ind w:left="95"/>
            </w:pPr>
            <w:r>
              <w:rPr>
                <w:spacing w:val="-3"/>
              </w:rPr>
              <w:t>标书胶装</w:t>
            </w:r>
          </w:p>
          <w:p w14:paraId="3B5CFF71">
            <w:pPr>
              <w:pStyle w:val="10"/>
              <w:spacing w:before="291" w:line="220" w:lineRule="auto"/>
              <w:ind w:left="94"/>
            </w:pPr>
            <w:r>
              <w:rPr>
                <w:spacing w:val="-3"/>
              </w:rPr>
              <w:t>相关能力</w:t>
            </w:r>
          </w:p>
          <w:p w14:paraId="18DA40C7">
            <w:pPr>
              <w:pStyle w:val="10"/>
              <w:spacing w:before="289" w:line="221" w:lineRule="auto"/>
              <w:ind w:left="517"/>
            </w:pPr>
            <w:r>
              <w:t>分</w:t>
            </w:r>
          </w:p>
        </w:tc>
        <w:tc>
          <w:tcPr>
            <w:tcW w:w="1082" w:type="dxa"/>
            <w:vAlign w:val="top"/>
          </w:tcPr>
          <w:p w14:paraId="79D17D07">
            <w:pPr>
              <w:spacing w:line="277" w:lineRule="auto"/>
              <w:rPr>
                <w:rFonts w:ascii="Arial"/>
                <w:sz w:val="21"/>
              </w:rPr>
            </w:pPr>
          </w:p>
          <w:p w14:paraId="67A52544">
            <w:pPr>
              <w:spacing w:line="277" w:lineRule="auto"/>
              <w:rPr>
                <w:rFonts w:ascii="Arial"/>
                <w:sz w:val="21"/>
              </w:rPr>
            </w:pPr>
          </w:p>
          <w:p w14:paraId="08252694">
            <w:pPr>
              <w:spacing w:line="277" w:lineRule="auto"/>
              <w:rPr>
                <w:rFonts w:ascii="Arial"/>
                <w:sz w:val="21"/>
              </w:rPr>
            </w:pPr>
          </w:p>
          <w:p w14:paraId="0250CE3E">
            <w:pPr>
              <w:spacing w:line="278" w:lineRule="auto"/>
              <w:rPr>
                <w:rFonts w:ascii="Arial"/>
                <w:sz w:val="21"/>
              </w:rPr>
            </w:pPr>
          </w:p>
          <w:p w14:paraId="7F92079F">
            <w:pPr>
              <w:spacing w:line="278" w:lineRule="auto"/>
              <w:rPr>
                <w:rFonts w:ascii="Arial"/>
                <w:sz w:val="21"/>
              </w:rPr>
            </w:pPr>
          </w:p>
          <w:p w14:paraId="5297D065">
            <w:pPr>
              <w:pStyle w:val="10"/>
              <w:spacing w:before="91" w:line="221" w:lineRule="auto"/>
              <w:ind w:left="217"/>
            </w:pPr>
            <w:r>
              <w:rPr>
                <w:rFonts w:hint="eastAsia"/>
                <w:spacing w:val="-10"/>
                <w:lang w:val="en-US" w:eastAsia="zh-CN"/>
              </w:rPr>
              <w:t>8</w:t>
            </w:r>
            <w:r>
              <w:rPr>
                <w:spacing w:val="12"/>
              </w:rPr>
              <w:t xml:space="preserve"> </w:t>
            </w:r>
            <w:r>
              <w:rPr>
                <w:spacing w:val="-10"/>
              </w:rPr>
              <w:t>分</w:t>
            </w:r>
          </w:p>
        </w:tc>
        <w:tc>
          <w:tcPr>
            <w:tcW w:w="2941" w:type="dxa"/>
            <w:vAlign w:val="top"/>
          </w:tcPr>
          <w:p w14:paraId="47AFA4EC">
            <w:pPr>
              <w:pStyle w:val="10"/>
              <w:spacing w:before="240" w:line="480" w:lineRule="auto"/>
              <w:ind w:left="88" w:right="0" w:firstLine="0"/>
            </w:pPr>
            <w:r>
              <w:rPr>
                <w:spacing w:val="-2"/>
                <w:sz w:val="24"/>
                <w:szCs w:val="24"/>
              </w:rPr>
              <w:t>1.提供自有胶装机购买发票及设备</w:t>
            </w:r>
            <w:r>
              <w:rPr>
                <w:spacing w:val="-1"/>
                <w:sz w:val="24"/>
                <w:szCs w:val="24"/>
              </w:rPr>
              <w:t xml:space="preserve">实拍照片，得 </w:t>
            </w:r>
            <w:r>
              <w:rPr>
                <w:rFonts w:hint="eastAsia"/>
                <w:spacing w:val="-1"/>
                <w:sz w:val="24"/>
                <w:szCs w:val="24"/>
                <w:lang w:val="en-US" w:eastAsia="zh-CN"/>
              </w:rPr>
              <w:t>4</w:t>
            </w:r>
            <w:r>
              <w:rPr>
                <w:spacing w:val="-1"/>
                <w:sz w:val="24"/>
                <w:szCs w:val="24"/>
              </w:rPr>
              <w:t xml:space="preserve"> 分；未提供或材料</w:t>
            </w:r>
            <w:r>
              <w:rPr>
                <w:spacing w:val="-2"/>
                <w:sz w:val="24"/>
                <w:szCs w:val="24"/>
              </w:rPr>
              <w:t>无效不得分；2.提供自有切纸机购买</w:t>
            </w:r>
            <w:r>
              <w:rPr>
                <w:spacing w:val="-1"/>
                <w:sz w:val="24"/>
                <w:szCs w:val="24"/>
              </w:rPr>
              <w:t xml:space="preserve">发票及设备实拍照片，得 </w:t>
            </w:r>
            <w:r>
              <w:rPr>
                <w:rFonts w:hint="eastAsia"/>
                <w:spacing w:val="-1"/>
                <w:sz w:val="24"/>
                <w:szCs w:val="24"/>
                <w:lang w:val="en-US" w:eastAsia="zh-CN"/>
              </w:rPr>
              <w:t>4</w:t>
            </w:r>
            <w:r>
              <w:rPr>
                <w:spacing w:val="-1"/>
                <w:sz w:val="24"/>
                <w:szCs w:val="24"/>
              </w:rPr>
              <w:t>分；未</w:t>
            </w:r>
            <w:r>
              <w:rPr>
                <w:spacing w:val="-2"/>
                <w:sz w:val="24"/>
                <w:szCs w:val="24"/>
              </w:rPr>
              <w:t>提供或材料无效不得分。</w:t>
            </w:r>
          </w:p>
        </w:tc>
        <w:tc>
          <w:tcPr>
            <w:tcW w:w="2375" w:type="dxa"/>
            <w:vAlign w:val="top"/>
          </w:tcPr>
          <w:p w14:paraId="4DFE1106">
            <w:pPr>
              <w:pStyle w:val="10"/>
              <w:spacing w:before="239" w:line="225" w:lineRule="auto"/>
              <w:ind w:left="68"/>
            </w:pPr>
            <w:r>
              <w:t>/</w:t>
            </w:r>
          </w:p>
        </w:tc>
      </w:tr>
      <w:tr w14:paraId="46B4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1" w:hRule="atLeast"/>
        </w:trPr>
        <w:tc>
          <w:tcPr>
            <w:tcW w:w="622" w:type="dxa"/>
            <w:vAlign w:val="top"/>
          </w:tcPr>
          <w:p w14:paraId="5EADF81A">
            <w:pPr>
              <w:spacing w:line="269" w:lineRule="auto"/>
              <w:rPr>
                <w:rFonts w:ascii="Arial"/>
                <w:sz w:val="21"/>
              </w:rPr>
            </w:pPr>
          </w:p>
          <w:p w14:paraId="23340918">
            <w:pPr>
              <w:spacing w:line="270" w:lineRule="auto"/>
              <w:rPr>
                <w:rFonts w:ascii="Arial"/>
                <w:sz w:val="21"/>
              </w:rPr>
            </w:pPr>
          </w:p>
          <w:p w14:paraId="3310783F">
            <w:pPr>
              <w:spacing w:line="270" w:lineRule="auto"/>
              <w:rPr>
                <w:rFonts w:ascii="Arial"/>
                <w:sz w:val="21"/>
              </w:rPr>
            </w:pPr>
          </w:p>
          <w:p w14:paraId="3110A659">
            <w:pPr>
              <w:spacing w:line="270" w:lineRule="auto"/>
              <w:rPr>
                <w:rFonts w:ascii="Arial"/>
                <w:sz w:val="21"/>
              </w:rPr>
            </w:pPr>
          </w:p>
          <w:p w14:paraId="1CD5002C">
            <w:pPr>
              <w:pStyle w:val="10"/>
              <w:spacing w:before="91" w:line="242" w:lineRule="auto"/>
              <w:ind w:left="247"/>
            </w:pPr>
            <w:r>
              <w:t>4</w:t>
            </w:r>
          </w:p>
        </w:tc>
        <w:tc>
          <w:tcPr>
            <w:tcW w:w="1294" w:type="dxa"/>
            <w:vAlign w:val="top"/>
          </w:tcPr>
          <w:p w14:paraId="77EC4BB3">
            <w:pPr>
              <w:spacing w:line="256" w:lineRule="auto"/>
              <w:rPr>
                <w:rFonts w:ascii="Arial"/>
                <w:sz w:val="21"/>
              </w:rPr>
            </w:pPr>
          </w:p>
          <w:p w14:paraId="289BA8D7">
            <w:pPr>
              <w:spacing w:line="256" w:lineRule="auto"/>
              <w:rPr>
                <w:rFonts w:ascii="Arial"/>
                <w:sz w:val="21"/>
              </w:rPr>
            </w:pPr>
          </w:p>
          <w:p w14:paraId="02BBC41D">
            <w:pPr>
              <w:spacing w:line="257" w:lineRule="auto"/>
              <w:rPr>
                <w:rFonts w:ascii="Arial"/>
                <w:sz w:val="21"/>
              </w:rPr>
            </w:pPr>
          </w:p>
          <w:p w14:paraId="1293F101">
            <w:pPr>
              <w:pStyle w:val="10"/>
              <w:spacing w:before="91" w:line="414" w:lineRule="auto"/>
              <w:ind w:left="258" w:right="84" w:hanging="163"/>
            </w:pPr>
            <w:r>
              <w:rPr>
                <w:spacing w:val="-3"/>
              </w:rPr>
              <w:t>专业服务</w:t>
            </w:r>
            <w:r>
              <w:rPr>
                <w:spacing w:val="-12"/>
              </w:rPr>
              <w:t>团队分</w:t>
            </w:r>
          </w:p>
        </w:tc>
        <w:tc>
          <w:tcPr>
            <w:tcW w:w="1082" w:type="dxa"/>
            <w:vAlign w:val="top"/>
          </w:tcPr>
          <w:p w14:paraId="0FC3B092">
            <w:pPr>
              <w:spacing w:line="269" w:lineRule="auto"/>
              <w:rPr>
                <w:rFonts w:ascii="Arial"/>
                <w:sz w:val="21"/>
              </w:rPr>
            </w:pPr>
          </w:p>
          <w:p w14:paraId="522307E1">
            <w:pPr>
              <w:spacing w:line="270" w:lineRule="auto"/>
              <w:rPr>
                <w:rFonts w:ascii="Arial"/>
                <w:sz w:val="21"/>
              </w:rPr>
            </w:pPr>
          </w:p>
          <w:p w14:paraId="3B6FA256">
            <w:pPr>
              <w:spacing w:line="270" w:lineRule="auto"/>
              <w:rPr>
                <w:rFonts w:ascii="Arial"/>
                <w:sz w:val="21"/>
              </w:rPr>
            </w:pPr>
          </w:p>
          <w:p w14:paraId="717D96D5">
            <w:pPr>
              <w:spacing w:line="270" w:lineRule="auto"/>
              <w:rPr>
                <w:rFonts w:ascii="Arial"/>
                <w:sz w:val="21"/>
              </w:rPr>
            </w:pPr>
          </w:p>
          <w:p w14:paraId="31D4ED3D">
            <w:pPr>
              <w:pStyle w:val="10"/>
              <w:spacing w:before="91" w:line="221" w:lineRule="auto"/>
              <w:ind w:left="217"/>
            </w:pPr>
            <w:r>
              <w:rPr>
                <w:spacing w:val="-10"/>
              </w:rPr>
              <w:t>10</w:t>
            </w:r>
            <w:r>
              <w:rPr>
                <w:spacing w:val="12"/>
              </w:rPr>
              <w:t xml:space="preserve"> </w:t>
            </w:r>
            <w:r>
              <w:rPr>
                <w:spacing w:val="-10"/>
              </w:rPr>
              <w:t>分</w:t>
            </w:r>
          </w:p>
        </w:tc>
        <w:tc>
          <w:tcPr>
            <w:tcW w:w="2941" w:type="dxa"/>
            <w:vAlign w:val="top"/>
          </w:tcPr>
          <w:p w14:paraId="6BD7DD63">
            <w:pPr>
              <w:pStyle w:val="10"/>
              <w:spacing w:before="241" w:line="480" w:lineRule="auto"/>
              <w:ind w:left="70" w:right="194" w:hanging="3"/>
            </w:pPr>
            <w:r>
              <w:rPr>
                <w:spacing w:val="-4"/>
                <w:sz w:val="24"/>
                <w:szCs w:val="24"/>
              </w:rPr>
              <w:t>服务团队人数≥10 人，得</w:t>
            </w:r>
            <w:r>
              <w:rPr>
                <w:spacing w:val="38"/>
                <w:sz w:val="24"/>
                <w:szCs w:val="24"/>
              </w:rPr>
              <w:t xml:space="preserve"> </w:t>
            </w:r>
            <w:r>
              <w:rPr>
                <w:spacing w:val="-4"/>
                <w:sz w:val="24"/>
                <w:szCs w:val="24"/>
              </w:rPr>
              <w:t>10 分；</w:t>
            </w:r>
            <w:r>
              <w:rPr>
                <w:sz w:val="24"/>
                <w:szCs w:val="24"/>
              </w:rPr>
              <w:t xml:space="preserve"> </w:t>
            </w:r>
            <w:r>
              <w:rPr>
                <w:spacing w:val="-3"/>
                <w:sz w:val="24"/>
                <w:szCs w:val="24"/>
              </w:rPr>
              <w:t>5 人≤服务团队人数＜10 人，得</w:t>
            </w:r>
            <w:r>
              <w:rPr>
                <w:spacing w:val="17"/>
                <w:sz w:val="24"/>
                <w:szCs w:val="24"/>
              </w:rPr>
              <w:t xml:space="preserve"> </w:t>
            </w:r>
            <w:r>
              <w:rPr>
                <w:spacing w:val="-3"/>
                <w:sz w:val="24"/>
                <w:szCs w:val="24"/>
              </w:rPr>
              <w:t>5</w:t>
            </w:r>
            <w:r>
              <w:rPr>
                <w:spacing w:val="-7"/>
                <w:sz w:val="24"/>
                <w:szCs w:val="24"/>
              </w:rPr>
              <w:t>分；</w:t>
            </w:r>
          </w:p>
        </w:tc>
        <w:tc>
          <w:tcPr>
            <w:tcW w:w="2375" w:type="dxa"/>
            <w:vAlign w:val="top"/>
          </w:tcPr>
          <w:p w14:paraId="6DC88D75">
            <w:pPr>
              <w:pStyle w:val="10"/>
              <w:spacing w:before="242" w:line="392" w:lineRule="auto"/>
              <w:ind w:left="70" w:right="54" w:firstLine="7"/>
              <w:rPr>
                <w:rFonts w:hint="default" w:eastAsia="宋体"/>
                <w:lang w:val="en-US" w:eastAsia="zh-CN"/>
              </w:rPr>
            </w:pPr>
            <w:r>
              <w:rPr>
                <w:rFonts w:hint="eastAsia"/>
                <w:sz w:val="24"/>
                <w:szCs w:val="24"/>
                <w:lang w:val="en-US" w:eastAsia="zh-CN"/>
              </w:rPr>
              <w:t>供应商需提供在职证明，加盖公章。</w:t>
            </w:r>
          </w:p>
        </w:tc>
      </w:tr>
      <w:tr w14:paraId="1104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22" w:type="dxa"/>
            <w:vAlign w:val="top"/>
          </w:tcPr>
          <w:p w14:paraId="2F88CDC4">
            <w:pPr>
              <w:spacing w:line="262" w:lineRule="auto"/>
              <w:rPr>
                <w:rFonts w:ascii="Arial"/>
                <w:sz w:val="21"/>
              </w:rPr>
            </w:pPr>
          </w:p>
          <w:p w14:paraId="31767271">
            <w:pPr>
              <w:spacing w:line="262" w:lineRule="auto"/>
              <w:rPr>
                <w:rFonts w:ascii="Arial"/>
                <w:sz w:val="21"/>
              </w:rPr>
            </w:pPr>
          </w:p>
          <w:p w14:paraId="1F887BE2">
            <w:pPr>
              <w:spacing w:line="262" w:lineRule="auto"/>
              <w:rPr>
                <w:rFonts w:ascii="Arial"/>
                <w:sz w:val="21"/>
              </w:rPr>
            </w:pPr>
          </w:p>
          <w:p w14:paraId="47F3EBCC">
            <w:pPr>
              <w:spacing w:line="263" w:lineRule="auto"/>
              <w:rPr>
                <w:rFonts w:ascii="Arial"/>
                <w:sz w:val="21"/>
              </w:rPr>
            </w:pPr>
          </w:p>
          <w:p w14:paraId="02343A68">
            <w:pPr>
              <w:spacing w:line="263" w:lineRule="auto"/>
              <w:rPr>
                <w:rFonts w:ascii="Arial"/>
                <w:sz w:val="21"/>
              </w:rPr>
            </w:pPr>
          </w:p>
          <w:p w14:paraId="29142B42">
            <w:pPr>
              <w:spacing w:line="263" w:lineRule="auto"/>
              <w:rPr>
                <w:rFonts w:ascii="Arial"/>
                <w:sz w:val="21"/>
              </w:rPr>
            </w:pPr>
          </w:p>
          <w:p w14:paraId="3C60464D">
            <w:pPr>
              <w:spacing w:line="263" w:lineRule="auto"/>
              <w:rPr>
                <w:rFonts w:ascii="Arial"/>
                <w:sz w:val="21"/>
              </w:rPr>
            </w:pPr>
          </w:p>
          <w:p w14:paraId="370EC3B6">
            <w:pPr>
              <w:spacing w:line="263" w:lineRule="auto"/>
              <w:rPr>
                <w:rFonts w:ascii="Arial"/>
                <w:sz w:val="21"/>
              </w:rPr>
            </w:pPr>
          </w:p>
          <w:p w14:paraId="28EA8F8E">
            <w:pPr>
              <w:spacing w:line="263" w:lineRule="auto"/>
              <w:rPr>
                <w:rFonts w:ascii="Arial"/>
                <w:sz w:val="21"/>
              </w:rPr>
            </w:pPr>
          </w:p>
          <w:p w14:paraId="0B839DD9">
            <w:pPr>
              <w:spacing w:line="263" w:lineRule="auto"/>
              <w:rPr>
                <w:rFonts w:ascii="Arial"/>
                <w:sz w:val="21"/>
              </w:rPr>
            </w:pPr>
          </w:p>
          <w:p w14:paraId="6B99DCC7">
            <w:pPr>
              <w:pStyle w:val="10"/>
              <w:spacing w:before="91"/>
              <w:ind w:left="253"/>
            </w:pPr>
            <w:r>
              <w:t>5</w:t>
            </w:r>
          </w:p>
        </w:tc>
        <w:tc>
          <w:tcPr>
            <w:tcW w:w="1294" w:type="dxa"/>
            <w:vAlign w:val="top"/>
          </w:tcPr>
          <w:p w14:paraId="469C422A">
            <w:pPr>
              <w:spacing w:line="257" w:lineRule="auto"/>
              <w:rPr>
                <w:rFonts w:ascii="Arial"/>
                <w:sz w:val="21"/>
              </w:rPr>
            </w:pPr>
          </w:p>
          <w:p w14:paraId="5793F8B7">
            <w:pPr>
              <w:spacing w:line="257" w:lineRule="auto"/>
              <w:rPr>
                <w:rFonts w:ascii="Arial"/>
                <w:sz w:val="21"/>
              </w:rPr>
            </w:pPr>
          </w:p>
          <w:p w14:paraId="7E808E04">
            <w:pPr>
              <w:spacing w:line="257" w:lineRule="auto"/>
              <w:rPr>
                <w:rFonts w:ascii="Arial"/>
                <w:sz w:val="21"/>
              </w:rPr>
            </w:pPr>
          </w:p>
          <w:p w14:paraId="65FF8947">
            <w:pPr>
              <w:spacing w:line="257" w:lineRule="auto"/>
              <w:rPr>
                <w:rFonts w:ascii="Arial"/>
                <w:sz w:val="21"/>
              </w:rPr>
            </w:pPr>
          </w:p>
          <w:p w14:paraId="7C8DFD6F">
            <w:pPr>
              <w:spacing w:line="257" w:lineRule="auto"/>
              <w:rPr>
                <w:rFonts w:ascii="Arial"/>
                <w:sz w:val="21"/>
              </w:rPr>
            </w:pPr>
          </w:p>
          <w:p w14:paraId="42BA3526">
            <w:pPr>
              <w:spacing w:line="257" w:lineRule="auto"/>
              <w:rPr>
                <w:rFonts w:ascii="Arial"/>
                <w:sz w:val="21"/>
              </w:rPr>
            </w:pPr>
          </w:p>
          <w:p w14:paraId="43343812">
            <w:pPr>
              <w:spacing w:line="258" w:lineRule="auto"/>
              <w:rPr>
                <w:rFonts w:ascii="Arial"/>
                <w:sz w:val="21"/>
              </w:rPr>
            </w:pPr>
          </w:p>
          <w:p w14:paraId="46727BFB">
            <w:pPr>
              <w:spacing w:line="258" w:lineRule="auto"/>
              <w:rPr>
                <w:rFonts w:ascii="Arial"/>
                <w:sz w:val="21"/>
              </w:rPr>
            </w:pPr>
          </w:p>
          <w:p w14:paraId="44AD81A9">
            <w:pPr>
              <w:spacing w:line="258" w:lineRule="auto"/>
              <w:rPr>
                <w:rFonts w:ascii="Arial"/>
                <w:sz w:val="21"/>
              </w:rPr>
            </w:pPr>
          </w:p>
          <w:p w14:paraId="74C0F143">
            <w:pPr>
              <w:pStyle w:val="10"/>
              <w:spacing w:before="91" w:line="414" w:lineRule="auto"/>
              <w:ind w:left="373" w:right="84" w:hanging="275"/>
            </w:pPr>
            <w:r>
              <w:rPr>
                <w:spacing w:val="-4"/>
              </w:rPr>
              <w:t>项目保障</w:t>
            </w:r>
            <w:r>
              <w:rPr>
                <w:spacing w:val="-6"/>
              </w:rPr>
              <w:t>方案</w:t>
            </w:r>
          </w:p>
        </w:tc>
        <w:tc>
          <w:tcPr>
            <w:tcW w:w="1082" w:type="dxa"/>
            <w:vAlign w:val="top"/>
          </w:tcPr>
          <w:p w14:paraId="49D4D7EC">
            <w:pPr>
              <w:spacing w:line="262" w:lineRule="auto"/>
              <w:rPr>
                <w:rFonts w:ascii="Arial"/>
                <w:sz w:val="21"/>
              </w:rPr>
            </w:pPr>
          </w:p>
          <w:p w14:paraId="30C52195">
            <w:pPr>
              <w:spacing w:line="262" w:lineRule="auto"/>
              <w:rPr>
                <w:rFonts w:ascii="Arial"/>
                <w:sz w:val="21"/>
              </w:rPr>
            </w:pPr>
          </w:p>
          <w:p w14:paraId="072AB241">
            <w:pPr>
              <w:spacing w:line="262" w:lineRule="auto"/>
              <w:rPr>
                <w:rFonts w:ascii="Arial"/>
                <w:sz w:val="21"/>
              </w:rPr>
            </w:pPr>
          </w:p>
          <w:p w14:paraId="3C97E9C0">
            <w:pPr>
              <w:spacing w:line="262" w:lineRule="auto"/>
              <w:rPr>
                <w:rFonts w:ascii="Arial"/>
                <w:sz w:val="21"/>
              </w:rPr>
            </w:pPr>
          </w:p>
          <w:p w14:paraId="545451F3">
            <w:pPr>
              <w:spacing w:line="263" w:lineRule="auto"/>
              <w:rPr>
                <w:rFonts w:ascii="Arial"/>
                <w:sz w:val="21"/>
              </w:rPr>
            </w:pPr>
          </w:p>
          <w:p w14:paraId="4ECF667B">
            <w:pPr>
              <w:spacing w:line="263" w:lineRule="auto"/>
              <w:rPr>
                <w:rFonts w:ascii="Arial"/>
                <w:sz w:val="21"/>
              </w:rPr>
            </w:pPr>
          </w:p>
          <w:p w14:paraId="0F815004">
            <w:pPr>
              <w:spacing w:line="263" w:lineRule="auto"/>
              <w:rPr>
                <w:rFonts w:ascii="Arial"/>
                <w:sz w:val="21"/>
              </w:rPr>
            </w:pPr>
          </w:p>
          <w:p w14:paraId="747B95B6">
            <w:pPr>
              <w:spacing w:line="263" w:lineRule="auto"/>
              <w:rPr>
                <w:rFonts w:ascii="Arial"/>
                <w:sz w:val="21"/>
              </w:rPr>
            </w:pPr>
          </w:p>
          <w:p w14:paraId="6C420184">
            <w:pPr>
              <w:spacing w:line="263" w:lineRule="auto"/>
              <w:rPr>
                <w:rFonts w:ascii="Arial"/>
                <w:sz w:val="21"/>
              </w:rPr>
            </w:pPr>
          </w:p>
          <w:p w14:paraId="11A045F1">
            <w:pPr>
              <w:spacing w:line="263" w:lineRule="auto"/>
              <w:rPr>
                <w:rFonts w:ascii="Arial"/>
                <w:sz w:val="21"/>
              </w:rPr>
            </w:pPr>
          </w:p>
          <w:p w14:paraId="2EE4F16E">
            <w:pPr>
              <w:pStyle w:val="10"/>
              <w:spacing w:before="91" w:line="221" w:lineRule="auto"/>
              <w:ind w:left="202"/>
            </w:pPr>
            <w:r>
              <w:rPr>
                <w:spacing w:val="-5"/>
              </w:rPr>
              <w:t>30</w:t>
            </w:r>
            <w:r>
              <w:rPr>
                <w:spacing w:val="12"/>
              </w:rPr>
              <w:t xml:space="preserve"> </w:t>
            </w:r>
            <w:r>
              <w:rPr>
                <w:spacing w:val="-5"/>
              </w:rPr>
              <w:t>分</w:t>
            </w:r>
          </w:p>
        </w:tc>
        <w:tc>
          <w:tcPr>
            <w:tcW w:w="2941" w:type="dxa"/>
            <w:vAlign w:val="top"/>
          </w:tcPr>
          <w:p w14:paraId="20A1D6E3">
            <w:pPr>
              <w:pStyle w:val="10"/>
              <w:spacing w:before="245" w:line="480" w:lineRule="auto"/>
              <w:ind w:left="66" w:right="53" w:firstLine="4"/>
              <w:jc w:val="both"/>
              <w:rPr>
                <w:rFonts w:hint="default"/>
                <w:spacing w:val="-2"/>
                <w:sz w:val="24"/>
                <w:szCs w:val="24"/>
              </w:rPr>
            </w:pPr>
            <w:r>
              <w:rPr>
                <w:spacing w:val="-2"/>
                <w:sz w:val="24"/>
                <w:szCs w:val="24"/>
              </w:rPr>
              <w:t>详细的项目保障方案：1.服务流程优化；2.编制周期管控；3.质量管控措施；4.合规性审核机制；5.应急响应方案。</w:t>
            </w:r>
            <w:r>
              <w:rPr>
                <w:rFonts w:hint="default"/>
                <w:spacing w:val="-2"/>
                <w:sz w:val="24"/>
                <w:szCs w:val="24"/>
              </w:rPr>
              <w:t xml:space="preserve">上述 </w:t>
            </w:r>
            <w:r>
              <w:rPr>
                <w:rFonts w:hint="default"/>
                <w:spacing w:val="-2"/>
                <w:sz w:val="24"/>
                <w:szCs w:val="24"/>
                <w:lang w:val="en-US" w:eastAsia="zh-CN"/>
              </w:rPr>
              <w:t>5</w:t>
            </w:r>
            <w:r>
              <w:rPr>
                <w:rFonts w:hint="default"/>
                <w:spacing w:val="-2"/>
                <w:sz w:val="24"/>
                <w:szCs w:val="24"/>
              </w:rPr>
              <w:t xml:space="preserve">项内容齐全且无缺陷得 </w:t>
            </w:r>
            <w:r>
              <w:rPr>
                <w:rFonts w:hint="default"/>
                <w:spacing w:val="-2"/>
                <w:sz w:val="24"/>
                <w:szCs w:val="24"/>
                <w:lang w:val="en-US" w:eastAsia="zh-CN"/>
              </w:rPr>
              <w:t>30</w:t>
            </w:r>
            <w:r>
              <w:rPr>
                <w:rFonts w:hint="default"/>
                <w:spacing w:val="-2"/>
                <w:sz w:val="24"/>
                <w:szCs w:val="24"/>
              </w:rPr>
              <w:t>分，每缺少一项内容扣</w:t>
            </w:r>
            <w:r>
              <w:rPr>
                <w:rFonts w:hint="default"/>
                <w:spacing w:val="-2"/>
                <w:sz w:val="24"/>
                <w:szCs w:val="24"/>
                <w:lang w:val="en-US" w:eastAsia="zh-CN"/>
              </w:rPr>
              <w:t>6</w:t>
            </w:r>
            <w:r>
              <w:rPr>
                <w:rFonts w:hint="default"/>
                <w:spacing w:val="-2"/>
                <w:sz w:val="24"/>
                <w:szCs w:val="24"/>
              </w:rPr>
              <w:t>分，扣完为止；单项内容（各单项分值为</w:t>
            </w:r>
            <w:r>
              <w:rPr>
                <w:rFonts w:hint="default"/>
                <w:spacing w:val="-2"/>
                <w:sz w:val="24"/>
                <w:szCs w:val="24"/>
                <w:lang w:val="en-US" w:eastAsia="zh-CN"/>
              </w:rPr>
              <w:t>6</w:t>
            </w:r>
            <w:r>
              <w:rPr>
                <w:rFonts w:hint="default"/>
                <w:spacing w:val="-2"/>
                <w:sz w:val="24"/>
                <w:szCs w:val="24"/>
              </w:rPr>
              <w:t xml:space="preserve">分）每存在一处缺陷扣 </w:t>
            </w:r>
            <w:r>
              <w:rPr>
                <w:rFonts w:hint="default"/>
                <w:spacing w:val="-2"/>
                <w:sz w:val="24"/>
                <w:szCs w:val="24"/>
                <w:lang w:val="en-US" w:eastAsia="zh-CN"/>
              </w:rPr>
              <w:t>3</w:t>
            </w:r>
            <w:r>
              <w:rPr>
                <w:rFonts w:hint="default"/>
                <w:spacing w:val="-2"/>
                <w:sz w:val="24"/>
                <w:szCs w:val="24"/>
              </w:rPr>
              <w:t>分，单项内容分扣完为止。</w:t>
            </w:r>
          </w:p>
          <w:p w14:paraId="0723C4C7">
            <w:pPr>
              <w:pStyle w:val="10"/>
              <w:spacing w:before="245" w:line="480" w:lineRule="auto"/>
              <w:ind w:left="66" w:right="53" w:firstLine="4"/>
              <w:jc w:val="both"/>
            </w:pPr>
            <w:r>
              <w:rPr>
                <w:rFonts w:hint="default"/>
                <w:spacing w:val="-2"/>
                <w:sz w:val="24"/>
                <w:szCs w:val="24"/>
              </w:rPr>
              <w:t>注：缺陷是指：存在项目名称错误、地点区域错误、内容与本项目需求无关、方案内容矛盾、 仅有框架或标题、适用的标准（方法）错误、明显复制其他项目内容等任意一种情形。</w:t>
            </w:r>
          </w:p>
        </w:tc>
        <w:tc>
          <w:tcPr>
            <w:tcW w:w="2375" w:type="dxa"/>
            <w:vAlign w:val="top"/>
          </w:tcPr>
          <w:p w14:paraId="57B3F738">
            <w:pPr>
              <w:pStyle w:val="10"/>
              <w:spacing w:before="238" w:line="225" w:lineRule="auto"/>
              <w:ind w:left="68"/>
            </w:pPr>
            <w:r>
              <w:t>/</w:t>
            </w:r>
          </w:p>
        </w:tc>
      </w:tr>
      <w:tr w14:paraId="0D19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622" w:type="dxa"/>
            <w:vAlign w:val="top"/>
          </w:tcPr>
          <w:p w14:paraId="0CC21EC0">
            <w:pPr>
              <w:spacing w:line="251" w:lineRule="auto"/>
              <w:rPr>
                <w:rFonts w:ascii="Arial"/>
                <w:sz w:val="21"/>
              </w:rPr>
            </w:pPr>
          </w:p>
          <w:p w14:paraId="491CBFCF">
            <w:pPr>
              <w:spacing w:line="251" w:lineRule="auto"/>
              <w:rPr>
                <w:rFonts w:ascii="Arial"/>
                <w:sz w:val="21"/>
              </w:rPr>
            </w:pPr>
          </w:p>
          <w:p w14:paraId="03F82066">
            <w:pPr>
              <w:spacing w:line="251" w:lineRule="auto"/>
              <w:rPr>
                <w:rFonts w:ascii="Arial"/>
                <w:sz w:val="21"/>
              </w:rPr>
            </w:pPr>
          </w:p>
          <w:p w14:paraId="4C8C430F">
            <w:pPr>
              <w:spacing w:line="251" w:lineRule="auto"/>
              <w:rPr>
                <w:rFonts w:ascii="Arial"/>
                <w:sz w:val="21"/>
              </w:rPr>
            </w:pPr>
          </w:p>
          <w:p w14:paraId="0F622B98">
            <w:pPr>
              <w:spacing w:line="251" w:lineRule="auto"/>
              <w:rPr>
                <w:rFonts w:ascii="Arial"/>
                <w:sz w:val="21"/>
              </w:rPr>
            </w:pPr>
          </w:p>
          <w:p w14:paraId="2A984B17">
            <w:pPr>
              <w:spacing w:line="251" w:lineRule="auto"/>
              <w:rPr>
                <w:rFonts w:ascii="Arial"/>
                <w:sz w:val="21"/>
              </w:rPr>
            </w:pPr>
          </w:p>
          <w:p w14:paraId="43EAD81D">
            <w:pPr>
              <w:spacing w:line="251" w:lineRule="auto"/>
              <w:rPr>
                <w:rFonts w:ascii="Arial"/>
                <w:sz w:val="21"/>
              </w:rPr>
            </w:pPr>
          </w:p>
          <w:p w14:paraId="3ED2A3AA">
            <w:pPr>
              <w:spacing w:line="252" w:lineRule="auto"/>
              <w:rPr>
                <w:rFonts w:ascii="Arial"/>
                <w:sz w:val="21"/>
              </w:rPr>
            </w:pPr>
          </w:p>
          <w:p w14:paraId="2BF87F6C">
            <w:pPr>
              <w:pStyle w:val="10"/>
              <w:spacing w:before="91"/>
              <w:ind w:left="250"/>
            </w:pPr>
            <w:r>
              <w:t>6</w:t>
            </w:r>
          </w:p>
        </w:tc>
        <w:tc>
          <w:tcPr>
            <w:tcW w:w="1294" w:type="dxa"/>
            <w:vAlign w:val="top"/>
          </w:tcPr>
          <w:p w14:paraId="6504E64C">
            <w:pPr>
              <w:spacing w:line="251" w:lineRule="auto"/>
              <w:rPr>
                <w:rFonts w:ascii="Arial"/>
                <w:sz w:val="21"/>
              </w:rPr>
            </w:pPr>
          </w:p>
          <w:p w14:paraId="7A19A147">
            <w:pPr>
              <w:spacing w:line="251" w:lineRule="auto"/>
              <w:rPr>
                <w:rFonts w:ascii="Arial"/>
                <w:sz w:val="21"/>
              </w:rPr>
            </w:pPr>
          </w:p>
          <w:p w14:paraId="31CDF3D5">
            <w:pPr>
              <w:spacing w:line="251" w:lineRule="auto"/>
              <w:rPr>
                <w:rFonts w:ascii="Arial"/>
                <w:sz w:val="21"/>
              </w:rPr>
            </w:pPr>
          </w:p>
          <w:p w14:paraId="0FF14E36">
            <w:pPr>
              <w:spacing w:line="251" w:lineRule="auto"/>
              <w:rPr>
                <w:rFonts w:ascii="Arial"/>
                <w:sz w:val="21"/>
              </w:rPr>
            </w:pPr>
          </w:p>
          <w:p w14:paraId="6CD93EAA">
            <w:pPr>
              <w:spacing w:line="251" w:lineRule="auto"/>
              <w:rPr>
                <w:rFonts w:ascii="Arial"/>
                <w:sz w:val="21"/>
              </w:rPr>
            </w:pPr>
          </w:p>
          <w:p w14:paraId="10C0E80B">
            <w:pPr>
              <w:spacing w:line="251" w:lineRule="auto"/>
              <w:rPr>
                <w:rFonts w:ascii="Arial"/>
                <w:sz w:val="21"/>
              </w:rPr>
            </w:pPr>
          </w:p>
          <w:p w14:paraId="1173930A">
            <w:pPr>
              <w:spacing w:line="251" w:lineRule="auto"/>
              <w:rPr>
                <w:rFonts w:ascii="Arial"/>
                <w:sz w:val="21"/>
              </w:rPr>
            </w:pPr>
          </w:p>
          <w:p w14:paraId="14F1E4C2">
            <w:pPr>
              <w:spacing w:line="251" w:lineRule="auto"/>
              <w:rPr>
                <w:rFonts w:ascii="Arial"/>
                <w:sz w:val="21"/>
              </w:rPr>
            </w:pPr>
          </w:p>
          <w:p w14:paraId="06E172B7">
            <w:pPr>
              <w:pStyle w:val="10"/>
              <w:spacing w:before="91" w:line="221" w:lineRule="auto"/>
              <w:ind w:left="95"/>
            </w:pPr>
            <w:r>
              <w:rPr>
                <w:spacing w:val="-3"/>
              </w:rPr>
              <w:t>保密方案</w:t>
            </w:r>
          </w:p>
        </w:tc>
        <w:tc>
          <w:tcPr>
            <w:tcW w:w="1082" w:type="dxa"/>
            <w:vAlign w:val="top"/>
          </w:tcPr>
          <w:p w14:paraId="5706ECE4">
            <w:pPr>
              <w:spacing w:line="251" w:lineRule="auto"/>
              <w:rPr>
                <w:rFonts w:ascii="Arial"/>
                <w:sz w:val="21"/>
              </w:rPr>
            </w:pPr>
          </w:p>
          <w:p w14:paraId="7533F8D7">
            <w:pPr>
              <w:spacing w:line="251" w:lineRule="auto"/>
              <w:rPr>
                <w:rFonts w:ascii="Arial"/>
                <w:sz w:val="21"/>
              </w:rPr>
            </w:pPr>
          </w:p>
          <w:p w14:paraId="4BEA1908">
            <w:pPr>
              <w:spacing w:line="251" w:lineRule="auto"/>
              <w:rPr>
                <w:rFonts w:ascii="Arial"/>
                <w:sz w:val="21"/>
              </w:rPr>
            </w:pPr>
          </w:p>
          <w:p w14:paraId="0CB3841B">
            <w:pPr>
              <w:spacing w:line="251" w:lineRule="auto"/>
              <w:rPr>
                <w:rFonts w:ascii="Arial"/>
                <w:sz w:val="21"/>
              </w:rPr>
            </w:pPr>
          </w:p>
          <w:p w14:paraId="6BC96E7D">
            <w:pPr>
              <w:spacing w:line="251" w:lineRule="auto"/>
              <w:rPr>
                <w:rFonts w:ascii="Arial"/>
                <w:sz w:val="21"/>
              </w:rPr>
            </w:pPr>
          </w:p>
          <w:p w14:paraId="527A8FCC">
            <w:pPr>
              <w:spacing w:line="251" w:lineRule="auto"/>
              <w:rPr>
                <w:rFonts w:ascii="Arial"/>
                <w:sz w:val="21"/>
              </w:rPr>
            </w:pPr>
          </w:p>
          <w:p w14:paraId="6CFFF78F">
            <w:pPr>
              <w:spacing w:line="251" w:lineRule="auto"/>
              <w:rPr>
                <w:rFonts w:ascii="Arial"/>
                <w:sz w:val="21"/>
              </w:rPr>
            </w:pPr>
          </w:p>
          <w:p w14:paraId="63D30115">
            <w:pPr>
              <w:spacing w:line="251" w:lineRule="auto"/>
              <w:rPr>
                <w:rFonts w:ascii="Arial"/>
                <w:sz w:val="21"/>
              </w:rPr>
            </w:pPr>
          </w:p>
          <w:p w14:paraId="3849FCE9">
            <w:pPr>
              <w:pStyle w:val="10"/>
              <w:spacing w:before="91" w:line="221" w:lineRule="auto"/>
              <w:ind w:left="217"/>
            </w:pPr>
            <w:r>
              <w:rPr>
                <w:spacing w:val="-10"/>
              </w:rPr>
              <w:t>18</w:t>
            </w:r>
            <w:r>
              <w:rPr>
                <w:spacing w:val="12"/>
              </w:rPr>
              <w:t xml:space="preserve"> </w:t>
            </w:r>
            <w:r>
              <w:rPr>
                <w:spacing w:val="-10"/>
              </w:rPr>
              <w:t>分</w:t>
            </w:r>
          </w:p>
        </w:tc>
        <w:tc>
          <w:tcPr>
            <w:tcW w:w="2941" w:type="dxa"/>
            <w:vAlign w:val="top"/>
          </w:tcPr>
          <w:p w14:paraId="0115AA40">
            <w:pPr>
              <w:pStyle w:val="10"/>
              <w:spacing w:before="245" w:line="480" w:lineRule="auto"/>
              <w:ind w:left="66" w:right="53" w:firstLine="4"/>
              <w:jc w:val="both"/>
              <w:rPr>
                <w:rFonts w:hint="eastAsia"/>
                <w:spacing w:val="-2"/>
                <w:sz w:val="24"/>
                <w:szCs w:val="24"/>
              </w:rPr>
            </w:pPr>
            <w:r>
              <w:rPr>
                <w:spacing w:val="-2"/>
                <w:sz w:val="24"/>
                <w:szCs w:val="24"/>
              </w:rPr>
              <w:t>详细的保密方案：1.保密措施；2.保密制度；3.涉密人员管理。</w:t>
            </w:r>
            <w:r>
              <w:rPr>
                <w:rFonts w:hint="eastAsia"/>
                <w:spacing w:val="-2"/>
                <w:sz w:val="24"/>
                <w:szCs w:val="24"/>
              </w:rPr>
              <w:t>上述 3 项内容齐全且无缺陷得 1</w:t>
            </w:r>
            <w:r>
              <w:rPr>
                <w:rFonts w:hint="eastAsia"/>
                <w:spacing w:val="-2"/>
                <w:sz w:val="24"/>
                <w:szCs w:val="24"/>
                <w:lang w:val="en-US" w:eastAsia="zh-CN"/>
              </w:rPr>
              <w:t>8</w:t>
            </w:r>
            <w:r>
              <w:rPr>
                <w:rFonts w:hint="eastAsia"/>
                <w:spacing w:val="-2"/>
                <w:sz w:val="24"/>
                <w:szCs w:val="24"/>
              </w:rPr>
              <w:t>分，每缺少一项内容扣</w:t>
            </w:r>
            <w:r>
              <w:rPr>
                <w:rFonts w:hint="eastAsia"/>
                <w:spacing w:val="-2"/>
                <w:sz w:val="24"/>
                <w:szCs w:val="24"/>
                <w:lang w:val="en-US" w:eastAsia="zh-CN"/>
              </w:rPr>
              <w:t>6</w:t>
            </w:r>
            <w:r>
              <w:rPr>
                <w:rFonts w:hint="eastAsia"/>
                <w:spacing w:val="-2"/>
                <w:sz w:val="24"/>
                <w:szCs w:val="24"/>
              </w:rPr>
              <w:t>分，扣完为止；单项内容（各单项分值为</w:t>
            </w:r>
            <w:r>
              <w:rPr>
                <w:rFonts w:hint="eastAsia"/>
                <w:spacing w:val="-2"/>
                <w:sz w:val="24"/>
                <w:szCs w:val="24"/>
                <w:lang w:val="en-US" w:eastAsia="zh-CN"/>
              </w:rPr>
              <w:t>6</w:t>
            </w:r>
            <w:r>
              <w:rPr>
                <w:rFonts w:hint="eastAsia"/>
                <w:spacing w:val="-2"/>
                <w:sz w:val="24"/>
                <w:szCs w:val="24"/>
              </w:rPr>
              <w:t>分）每存在一处缺陷扣</w:t>
            </w:r>
            <w:r>
              <w:rPr>
                <w:rFonts w:hint="eastAsia"/>
                <w:spacing w:val="-2"/>
                <w:sz w:val="24"/>
                <w:szCs w:val="24"/>
                <w:lang w:val="en-US" w:eastAsia="zh-CN"/>
              </w:rPr>
              <w:t>3</w:t>
            </w:r>
            <w:r>
              <w:rPr>
                <w:rFonts w:hint="eastAsia"/>
                <w:spacing w:val="-2"/>
                <w:sz w:val="24"/>
                <w:szCs w:val="24"/>
              </w:rPr>
              <w:t>分，单项内容分扣完为止。</w:t>
            </w:r>
          </w:p>
          <w:p w14:paraId="2B69F2FD">
            <w:pPr>
              <w:pStyle w:val="10"/>
              <w:spacing w:before="245" w:line="480" w:lineRule="auto"/>
              <w:ind w:left="66" w:right="53" w:firstLine="4"/>
              <w:jc w:val="both"/>
            </w:pPr>
            <w:r>
              <w:rPr>
                <w:rFonts w:hint="eastAsia"/>
                <w:spacing w:val="-2"/>
                <w:sz w:val="24"/>
                <w:szCs w:val="24"/>
              </w:rPr>
              <w:t>注：缺陷是指：存在项目名称错误、地点区域错误、内容与本项目需求无关、方案内容矛盾、 仅有框架或标题、适用的标准（方法）错误、明显复制其他项目内容等任意一种情形</w:t>
            </w:r>
            <w:r>
              <w:rPr>
                <w:rFonts w:hint="eastAsia"/>
                <w:spacing w:val="-2"/>
              </w:rPr>
              <w:t>。</w:t>
            </w:r>
          </w:p>
        </w:tc>
        <w:tc>
          <w:tcPr>
            <w:tcW w:w="2375" w:type="dxa"/>
            <w:vAlign w:val="top"/>
          </w:tcPr>
          <w:p w14:paraId="6CBA62F2">
            <w:pPr>
              <w:pStyle w:val="10"/>
              <w:spacing w:before="240" w:line="225" w:lineRule="auto"/>
              <w:ind w:left="68"/>
            </w:pPr>
            <w:r>
              <w:t>/</w:t>
            </w:r>
          </w:p>
        </w:tc>
      </w:tr>
      <w:tr w14:paraId="1D67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4" w:hRule="atLeast"/>
        </w:trPr>
        <w:tc>
          <w:tcPr>
            <w:tcW w:w="622" w:type="dxa"/>
            <w:vAlign w:val="top"/>
          </w:tcPr>
          <w:p w14:paraId="268018CA">
            <w:pPr>
              <w:spacing w:line="720" w:lineRule="auto"/>
              <w:rPr>
                <w:rFonts w:ascii="Arial"/>
                <w:sz w:val="21"/>
              </w:rPr>
            </w:pPr>
          </w:p>
          <w:p w14:paraId="36914A0A">
            <w:pPr>
              <w:spacing w:line="720" w:lineRule="auto"/>
              <w:rPr>
                <w:rFonts w:ascii="Arial"/>
                <w:sz w:val="21"/>
              </w:rPr>
            </w:pPr>
          </w:p>
          <w:p w14:paraId="69D0CBA0">
            <w:pPr>
              <w:spacing w:line="720" w:lineRule="auto"/>
              <w:rPr>
                <w:rFonts w:ascii="Arial"/>
                <w:sz w:val="21"/>
              </w:rPr>
            </w:pPr>
          </w:p>
          <w:p w14:paraId="42E0A949">
            <w:pPr>
              <w:spacing w:line="720" w:lineRule="auto"/>
              <w:rPr>
                <w:rFonts w:ascii="Arial"/>
                <w:sz w:val="21"/>
              </w:rPr>
            </w:pPr>
          </w:p>
          <w:p w14:paraId="78D340EC">
            <w:pPr>
              <w:pStyle w:val="10"/>
              <w:spacing w:before="91" w:line="720" w:lineRule="auto"/>
              <w:ind w:left="255"/>
            </w:pPr>
            <w:r>
              <w:t>7</w:t>
            </w:r>
          </w:p>
        </w:tc>
        <w:tc>
          <w:tcPr>
            <w:tcW w:w="1294" w:type="dxa"/>
            <w:vAlign w:val="top"/>
          </w:tcPr>
          <w:p w14:paraId="1713C43C">
            <w:pPr>
              <w:spacing w:line="720" w:lineRule="auto"/>
              <w:rPr>
                <w:rFonts w:ascii="Arial"/>
                <w:sz w:val="21"/>
              </w:rPr>
            </w:pPr>
          </w:p>
          <w:p w14:paraId="6372E733">
            <w:pPr>
              <w:spacing w:line="720" w:lineRule="auto"/>
              <w:rPr>
                <w:rFonts w:ascii="Arial"/>
                <w:sz w:val="21"/>
              </w:rPr>
            </w:pPr>
          </w:p>
          <w:p w14:paraId="07C9442B">
            <w:pPr>
              <w:spacing w:line="720" w:lineRule="auto"/>
              <w:rPr>
                <w:rFonts w:ascii="Arial"/>
                <w:sz w:val="21"/>
              </w:rPr>
            </w:pPr>
          </w:p>
          <w:p w14:paraId="2E291BFB">
            <w:pPr>
              <w:pStyle w:val="10"/>
              <w:spacing w:before="91" w:line="720" w:lineRule="auto"/>
              <w:ind w:left="373" w:right="84" w:hanging="279"/>
            </w:pPr>
            <w:r>
              <w:rPr>
                <w:spacing w:val="-3"/>
              </w:rPr>
              <w:t>售后服务</w:t>
            </w:r>
            <w:r>
              <w:rPr>
                <w:spacing w:val="-6"/>
              </w:rPr>
              <w:t>方案</w:t>
            </w:r>
          </w:p>
        </w:tc>
        <w:tc>
          <w:tcPr>
            <w:tcW w:w="1082" w:type="dxa"/>
            <w:vAlign w:val="top"/>
          </w:tcPr>
          <w:p w14:paraId="46305946">
            <w:pPr>
              <w:spacing w:line="269" w:lineRule="auto"/>
              <w:rPr>
                <w:rFonts w:ascii="Arial"/>
                <w:sz w:val="21"/>
              </w:rPr>
            </w:pPr>
          </w:p>
          <w:p w14:paraId="776A4790">
            <w:pPr>
              <w:spacing w:line="269" w:lineRule="auto"/>
              <w:rPr>
                <w:rFonts w:ascii="Arial"/>
                <w:sz w:val="21"/>
              </w:rPr>
            </w:pPr>
          </w:p>
          <w:p w14:paraId="4DEE964E">
            <w:pPr>
              <w:spacing w:line="270" w:lineRule="auto"/>
              <w:rPr>
                <w:rFonts w:ascii="Arial"/>
                <w:sz w:val="21"/>
              </w:rPr>
            </w:pPr>
          </w:p>
          <w:p w14:paraId="78403522">
            <w:pPr>
              <w:spacing w:line="270" w:lineRule="auto"/>
              <w:rPr>
                <w:rFonts w:ascii="Arial"/>
                <w:sz w:val="21"/>
              </w:rPr>
            </w:pPr>
          </w:p>
          <w:p w14:paraId="7BC7B856">
            <w:pPr>
              <w:pStyle w:val="10"/>
              <w:spacing w:before="91" w:line="221" w:lineRule="auto"/>
              <w:ind w:left="217"/>
            </w:pPr>
            <w:r>
              <w:rPr>
                <w:spacing w:val="-10"/>
              </w:rPr>
              <w:t>12</w:t>
            </w:r>
            <w:r>
              <w:rPr>
                <w:spacing w:val="12"/>
              </w:rPr>
              <w:t xml:space="preserve"> </w:t>
            </w:r>
            <w:r>
              <w:rPr>
                <w:spacing w:val="-10"/>
              </w:rPr>
              <w:t>分</w:t>
            </w:r>
          </w:p>
        </w:tc>
        <w:tc>
          <w:tcPr>
            <w:tcW w:w="2941" w:type="dxa"/>
            <w:vAlign w:val="top"/>
          </w:tcPr>
          <w:p w14:paraId="70468C3E">
            <w:pPr>
              <w:spacing w:line="480" w:lineRule="auto"/>
              <w:rPr>
                <w:rFonts w:ascii="宋体" w:hAnsi="宋体" w:eastAsia="宋体" w:cstheme="minorBidi"/>
                <w:color w:val="auto"/>
                <w:spacing w:val="-3"/>
                <w:sz w:val="24"/>
                <w:szCs w:val="24"/>
                <w:lang w:val="zh-TW" w:eastAsia="zh-TW"/>
              </w:rPr>
            </w:pPr>
            <w:r>
              <w:rPr>
                <w:spacing w:val="-3"/>
                <w:sz w:val="24"/>
                <w:szCs w:val="24"/>
              </w:rPr>
              <w:t>详细的售后服务方案：1.后续答疑服务；2.标书修改服务。</w:t>
            </w:r>
            <w:r>
              <w:rPr>
                <w:rFonts w:hint="default" w:ascii="宋体" w:hAnsi="宋体" w:eastAsia="宋体" w:cstheme="minorBidi"/>
                <w:color w:val="auto"/>
                <w:spacing w:val="-3"/>
                <w:sz w:val="24"/>
                <w:szCs w:val="24"/>
                <w:lang w:val="zh-TW" w:eastAsia="zh-TW"/>
              </w:rPr>
              <w:t xml:space="preserve">上述 </w:t>
            </w:r>
            <w:r>
              <w:rPr>
                <w:rFonts w:hint="default" w:ascii="宋体" w:hAnsi="宋体" w:eastAsia="宋体" w:cstheme="minorBidi"/>
                <w:color w:val="auto"/>
                <w:spacing w:val="-3"/>
                <w:sz w:val="24"/>
                <w:szCs w:val="24"/>
                <w:lang w:val="en-US" w:eastAsia="zh-CN"/>
              </w:rPr>
              <w:t>2</w:t>
            </w:r>
            <w:r>
              <w:rPr>
                <w:rFonts w:hint="default" w:ascii="宋体" w:hAnsi="宋体" w:eastAsia="宋体" w:cstheme="minorBidi"/>
                <w:color w:val="auto"/>
                <w:spacing w:val="-3"/>
                <w:sz w:val="24"/>
                <w:szCs w:val="24"/>
                <w:lang w:val="zh-TW" w:eastAsia="zh-TW"/>
              </w:rPr>
              <w:t xml:space="preserve"> 项内容齐全且无缺陷得 </w:t>
            </w:r>
            <w:r>
              <w:rPr>
                <w:rFonts w:hint="default" w:ascii="宋体" w:hAnsi="宋体" w:eastAsia="宋体" w:cstheme="minorBidi"/>
                <w:color w:val="auto"/>
                <w:spacing w:val="-3"/>
                <w:sz w:val="24"/>
                <w:szCs w:val="24"/>
                <w:lang w:val="en-US" w:eastAsia="zh-CN"/>
              </w:rPr>
              <w:t>12</w:t>
            </w:r>
            <w:r>
              <w:rPr>
                <w:rFonts w:hint="default" w:ascii="宋体" w:hAnsi="宋体" w:eastAsia="宋体" w:cstheme="minorBidi"/>
                <w:color w:val="auto"/>
                <w:spacing w:val="-3"/>
                <w:sz w:val="24"/>
                <w:szCs w:val="24"/>
                <w:lang w:val="zh-TW" w:eastAsia="zh-TW"/>
              </w:rPr>
              <w:t>分，每缺少一项内容扣</w:t>
            </w:r>
            <w:r>
              <w:rPr>
                <w:rFonts w:hint="default" w:ascii="宋体" w:hAnsi="宋体" w:eastAsia="宋体" w:cstheme="minorBidi"/>
                <w:color w:val="auto"/>
                <w:spacing w:val="-3"/>
                <w:sz w:val="24"/>
                <w:szCs w:val="24"/>
                <w:lang w:val="en-US" w:eastAsia="zh-CN"/>
              </w:rPr>
              <w:t>6</w:t>
            </w:r>
            <w:r>
              <w:rPr>
                <w:rFonts w:hint="default" w:ascii="宋体" w:hAnsi="宋体" w:eastAsia="宋体" w:cstheme="minorBidi"/>
                <w:color w:val="auto"/>
                <w:spacing w:val="-3"/>
                <w:sz w:val="24"/>
                <w:szCs w:val="24"/>
                <w:lang w:val="zh-TW" w:eastAsia="zh-TW"/>
              </w:rPr>
              <w:t>分，扣完为止；单项内容（各单项分值为</w:t>
            </w:r>
            <w:r>
              <w:rPr>
                <w:rFonts w:hint="default" w:ascii="宋体" w:hAnsi="宋体" w:eastAsia="宋体" w:cstheme="minorBidi"/>
                <w:color w:val="auto"/>
                <w:spacing w:val="-3"/>
                <w:sz w:val="24"/>
                <w:szCs w:val="24"/>
                <w:lang w:val="en-US" w:eastAsia="zh-CN"/>
              </w:rPr>
              <w:t>6</w:t>
            </w:r>
            <w:r>
              <w:rPr>
                <w:rFonts w:hint="default" w:ascii="宋体" w:hAnsi="宋体" w:eastAsia="宋体" w:cstheme="minorBidi"/>
                <w:color w:val="auto"/>
                <w:spacing w:val="-3"/>
                <w:sz w:val="24"/>
                <w:szCs w:val="24"/>
                <w:lang w:val="zh-TW" w:eastAsia="zh-TW"/>
              </w:rPr>
              <w:t xml:space="preserve">分）每存在一处缺陷扣 </w:t>
            </w:r>
            <w:r>
              <w:rPr>
                <w:rFonts w:hint="default" w:ascii="宋体" w:hAnsi="宋体" w:eastAsia="宋体" w:cstheme="minorBidi"/>
                <w:color w:val="auto"/>
                <w:spacing w:val="-3"/>
                <w:sz w:val="24"/>
                <w:szCs w:val="24"/>
                <w:lang w:val="en-US" w:eastAsia="zh-CN"/>
              </w:rPr>
              <w:t>3</w:t>
            </w:r>
            <w:r>
              <w:rPr>
                <w:rFonts w:hint="default" w:ascii="宋体" w:hAnsi="宋体" w:eastAsia="宋体" w:cstheme="minorBidi"/>
                <w:color w:val="auto"/>
                <w:spacing w:val="-3"/>
                <w:sz w:val="24"/>
                <w:szCs w:val="24"/>
                <w:lang w:val="zh-TW" w:eastAsia="zh-TW"/>
              </w:rPr>
              <w:t>分，单项内容分扣完为止。</w:t>
            </w:r>
          </w:p>
          <w:p w14:paraId="32EE9883">
            <w:pPr>
              <w:spacing w:before="242" w:line="480" w:lineRule="auto"/>
              <w:ind w:left="70" w:right="53"/>
              <w:jc w:val="both"/>
              <w:rPr>
                <w:spacing w:val="-3"/>
              </w:rPr>
            </w:pPr>
            <w:r>
              <w:rPr>
                <w:rFonts w:hint="default" w:ascii="宋体" w:hAnsi="宋体" w:eastAsia="宋体" w:cstheme="minorBidi"/>
                <w:color w:val="000000"/>
                <w:spacing w:val="-3"/>
                <w:sz w:val="24"/>
                <w:szCs w:val="24"/>
                <w:lang w:val="zh-TW" w:eastAsia="zh-CN"/>
              </w:rPr>
              <w:t>注：缺陷是指：存在项目名称错误、地点区域错误、内容与本项目需求无关、方案内容矛盾、 仅有框架或标题、适用的标准（方法）错误、明显复制其他项目内容等任意一种情形。</w:t>
            </w:r>
          </w:p>
        </w:tc>
        <w:tc>
          <w:tcPr>
            <w:tcW w:w="2375" w:type="dxa"/>
            <w:vAlign w:val="top"/>
          </w:tcPr>
          <w:p w14:paraId="7D45FF38">
            <w:pPr>
              <w:spacing w:before="240" w:line="360" w:lineRule="auto"/>
              <w:ind w:left="68"/>
              <w:rPr>
                <w:spacing w:val="-3"/>
              </w:rPr>
            </w:pPr>
            <w:r>
              <w:rPr>
                <w:spacing w:val="-3"/>
              </w:rPr>
              <w:t>/</w:t>
            </w:r>
          </w:p>
        </w:tc>
      </w:tr>
    </w:tbl>
    <w:p w14:paraId="7E184763"/>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9FD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81D82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81D82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20932"/>
    <w:multiLevelType w:val="singleLevel"/>
    <w:tmpl w:val="D9B20932"/>
    <w:lvl w:ilvl="0" w:tentative="0">
      <w:start w:val="7"/>
      <w:numFmt w:val="decimal"/>
      <w:lvlText w:val="%1."/>
      <w:lvlJc w:val="left"/>
      <w:pPr>
        <w:tabs>
          <w:tab w:val="left" w:pos="312"/>
        </w:tabs>
      </w:pPr>
    </w:lvl>
  </w:abstractNum>
  <w:abstractNum w:abstractNumId="1">
    <w:nsid w:val="6AC7B6FB"/>
    <w:multiLevelType w:val="multilevel"/>
    <w:tmpl w:val="6AC7B6FB"/>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B7280"/>
    <w:rsid w:val="58AB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8"/>
      <w:szCs w:val="22"/>
      <w:lang w:val="en-US" w:eastAsia="zh-CN" w:bidi="ar-SA"/>
    </w:rPr>
  </w:style>
  <w:style w:type="paragraph" w:styleId="2">
    <w:name w:val="heading 1"/>
    <w:basedOn w:val="1"/>
    <w:next w:val="1"/>
    <w:qFormat/>
    <w:uiPriority w:val="9"/>
    <w:pPr>
      <w:keepNext/>
      <w:keepLines/>
      <w:widowControl/>
      <w:numPr>
        <w:ilvl w:val="0"/>
        <w:numId w:val="1"/>
      </w:numPr>
      <w:spacing w:line="360" w:lineRule="auto"/>
      <w:ind w:left="432" w:hanging="432" w:firstLineChars="0"/>
      <w:jc w:val="left"/>
      <w:outlineLvl w:val="0"/>
    </w:pPr>
    <w:rPr>
      <w:rFonts w:ascii="宋体" w:hAnsi="宋体" w:eastAsia="宋体"/>
      <w:b/>
      <w:bCs/>
      <w:kern w:val="36"/>
      <w:sz w:val="36"/>
      <w:szCs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Lines="0" w:afterAutospacing="0" w:line="360" w:lineRule="auto"/>
    </w:pPr>
    <w:rPr>
      <w:rFonts w:ascii="宋体" w:hAnsi="宋体" w:eastAsia="宋体"/>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spacing w:line="360" w:lineRule="auto"/>
      <w:ind w:firstLine="560" w:firstLineChars="200"/>
    </w:p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2026-01-19T10:34:00Z</dcterms:created>
  <dc:creator>WPS_911694258</dc:creator>
  <cp:lastModifiedBy>WPS_911694258</cp:lastModifiedBy>
  <dcterms:modified xsi:type="dcterms:W3CDTF">2026-01-19T10:38:30Z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41180F77997B4D7D92C9715D45524793_11</vt:lpwstr>
  </property>
  <property fmtid="{D5CDD505-2E9C-101B-9397-08002B2CF9AE}" pid="4" name="KSOTemplateDocerSaveRecord">
    <vt:lpwstr>eyJoZGlkIjoiZWI2MGQyNzA1NzQ2MzllZmNjNzExNWJjOTc2OGJiYTIiLCJ1c2VySWQiOiI5MTE2OTQyNTgifQ==</vt:lpwstr>
  </property>
</Properties>
</file>