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85974">
      <w:pPr>
        <w:tabs>
          <w:tab w:val="left" w:pos="3819"/>
          <w:tab w:val="center" w:pos="4204"/>
        </w:tabs>
        <w:spacing w:line="360" w:lineRule="auto"/>
        <w:ind w:right="-594" w:rightChars="-283"/>
        <w:jc w:val="center"/>
        <w:rPr>
          <w:rFonts w:hint="eastAsia" w:ascii="宋体" w:hAnsi="宋体"/>
          <w:b/>
          <w:sz w:val="32"/>
          <w:szCs w:val="32"/>
        </w:rPr>
      </w:pPr>
      <w:bookmarkStart w:id="0" w:name="_Hlk39924297"/>
      <w:r>
        <w:rPr>
          <w:rFonts w:hint="eastAsia" w:ascii="宋体" w:hAnsi="宋体"/>
          <w:b/>
          <w:sz w:val="32"/>
          <w:szCs w:val="32"/>
        </w:rPr>
        <w:t>大邑县人民医院</w:t>
      </w:r>
      <w:bookmarkStart w:id="1" w:name="OLE_LINK2"/>
    </w:p>
    <w:p w14:paraId="19935A3E">
      <w:pPr>
        <w:tabs>
          <w:tab w:val="left" w:pos="3819"/>
          <w:tab w:val="center" w:pos="4204"/>
        </w:tabs>
        <w:spacing w:line="360" w:lineRule="auto"/>
        <w:ind w:right="-594" w:rightChars="-283"/>
        <w:jc w:val="center"/>
        <w:rPr>
          <w:rFonts w:hint="eastAsia" w:ascii="宋体" w:hAnsi="宋体" w:eastAsia="宋体"/>
          <w:b/>
          <w:sz w:val="32"/>
          <w:szCs w:val="32"/>
          <w:lang w:val="en-US" w:eastAsia="zh-CN"/>
        </w:rPr>
      </w:pPr>
      <w:r>
        <w:rPr>
          <w:rFonts w:hint="eastAsia" w:ascii="宋体" w:hAnsi="宋体"/>
          <w:b/>
          <w:sz w:val="32"/>
          <w:szCs w:val="32"/>
          <w:lang w:eastAsia="zh-CN"/>
        </w:rPr>
        <w:t>医院</w:t>
      </w:r>
      <w:r>
        <w:rPr>
          <w:rFonts w:hint="eastAsia" w:ascii="宋体" w:hAnsi="宋体"/>
          <w:b/>
          <w:sz w:val="32"/>
          <w:szCs w:val="32"/>
        </w:rPr>
        <w:t>病房宽带及电视服务</w:t>
      </w:r>
      <w:bookmarkEnd w:id="1"/>
      <w:r>
        <w:rPr>
          <w:rFonts w:hint="eastAsia" w:ascii="宋体" w:hAnsi="宋体"/>
          <w:b/>
          <w:sz w:val="32"/>
          <w:szCs w:val="32"/>
          <w:lang w:val="en-US" w:eastAsia="zh-CN"/>
        </w:rPr>
        <w:t>采购项目比选文件</w:t>
      </w:r>
    </w:p>
    <w:p w14:paraId="4DF3441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b/>
          <w:kern w:val="44"/>
          <w:sz w:val="32"/>
          <w:szCs w:val="32"/>
        </w:rPr>
      </w:pPr>
    </w:p>
    <w:p w14:paraId="58B73707">
      <w:pPr>
        <w:keepNext w:val="0"/>
        <w:keepLines w:val="0"/>
        <w:pageBreakBefore w:val="0"/>
        <w:widowControl w:val="0"/>
        <w:kinsoku/>
        <w:wordWrap/>
        <w:overflowPunct/>
        <w:topLinePunct w:val="0"/>
        <w:autoSpaceDE/>
        <w:autoSpaceDN/>
        <w:bidi w:val="0"/>
        <w:adjustRightInd/>
        <w:snapToGrid/>
        <w:spacing w:line="360" w:lineRule="auto"/>
        <w:textAlignment w:val="auto"/>
        <w:rPr>
          <w:b w:val="0"/>
          <w:bCs/>
          <w:kern w:val="44"/>
          <w:sz w:val="24"/>
          <w:szCs w:val="22"/>
        </w:rPr>
      </w:pPr>
      <w:r>
        <w:rPr>
          <w:rFonts w:hint="eastAsia"/>
          <w:b/>
          <w:kern w:val="44"/>
          <w:sz w:val="24"/>
          <w:szCs w:val="22"/>
        </w:rPr>
        <w:t>一</w:t>
      </w:r>
      <w:r>
        <w:rPr>
          <w:rFonts w:hint="eastAsia"/>
          <w:b/>
          <w:kern w:val="44"/>
          <w:sz w:val="24"/>
          <w:szCs w:val="22"/>
          <w:lang w:eastAsia="zh-CN"/>
        </w:rPr>
        <w:t>、</w:t>
      </w:r>
      <w:r>
        <w:rPr>
          <w:rFonts w:hint="eastAsia"/>
          <w:b/>
          <w:kern w:val="44"/>
          <w:sz w:val="24"/>
          <w:szCs w:val="22"/>
        </w:rPr>
        <w:t>项目名称：</w:t>
      </w:r>
      <w:r>
        <w:rPr>
          <w:rFonts w:hint="eastAsia" w:ascii="Times New Roman" w:hAnsi="Times New Roman" w:eastAsia="宋体" w:cs="Times New Roman"/>
          <w:b w:val="0"/>
          <w:bCs/>
          <w:kern w:val="44"/>
          <w:sz w:val="24"/>
          <w:szCs w:val="22"/>
          <w:lang w:val="en-US" w:eastAsia="zh-CN"/>
        </w:rPr>
        <w:t>医院病房宽带及电视</w:t>
      </w:r>
      <w:r>
        <w:rPr>
          <w:rFonts w:hint="eastAsia"/>
          <w:b w:val="0"/>
          <w:bCs/>
          <w:kern w:val="44"/>
          <w:sz w:val="24"/>
          <w:szCs w:val="22"/>
          <w:lang w:val="en-US" w:eastAsia="zh-CN"/>
        </w:rPr>
        <w:t>服务</w:t>
      </w:r>
      <w:r>
        <w:rPr>
          <w:rFonts w:hint="eastAsia"/>
          <w:b w:val="0"/>
          <w:bCs/>
          <w:kern w:val="44"/>
          <w:sz w:val="24"/>
          <w:szCs w:val="22"/>
        </w:rPr>
        <w:t>采购项目</w:t>
      </w:r>
    </w:p>
    <w:p w14:paraId="65B8B2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b w:val="0"/>
          <w:bCs w:val="0"/>
          <w:sz w:val="24"/>
          <w:szCs w:val="24"/>
        </w:rPr>
      </w:pPr>
      <w:r>
        <w:rPr>
          <w:rFonts w:hint="eastAsia"/>
          <w:b/>
          <w:kern w:val="44"/>
          <w:sz w:val="24"/>
          <w:szCs w:val="22"/>
        </w:rPr>
        <w:t>二</w:t>
      </w:r>
      <w:r>
        <w:rPr>
          <w:rFonts w:hint="eastAsia"/>
          <w:b/>
          <w:kern w:val="44"/>
          <w:sz w:val="24"/>
          <w:szCs w:val="22"/>
          <w:lang w:eastAsia="zh-CN"/>
        </w:rPr>
        <w:t>、</w:t>
      </w:r>
      <w:r>
        <w:rPr>
          <w:rFonts w:hint="eastAsia"/>
          <w:b/>
          <w:kern w:val="44"/>
          <w:sz w:val="24"/>
          <w:szCs w:val="22"/>
        </w:rPr>
        <w:t>项目预算：</w:t>
      </w:r>
      <w:r>
        <w:rPr>
          <w:rFonts w:hint="eastAsia" w:hAnsi="宋体" w:cs="宋体"/>
          <w:b w:val="0"/>
          <w:bCs w:val="0"/>
          <w:sz w:val="24"/>
          <w:szCs w:val="24"/>
        </w:rPr>
        <w:t>本项目采购预算为</w:t>
      </w:r>
      <w:bookmarkStart w:id="2" w:name="OLE_LINK3"/>
      <w:r>
        <w:rPr>
          <w:rFonts w:hint="eastAsia" w:hAnsi="宋体" w:cs="宋体"/>
          <w:b w:val="0"/>
          <w:bCs w:val="0"/>
          <w:sz w:val="24"/>
          <w:szCs w:val="24"/>
          <w:lang w:val="en-US" w:eastAsia="zh-CN"/>
        </w:rPr>
        <w:t>30000</w:t>
      </w:r>
      <w:r>
        <w:rPr>
          <w:rFonts w:hAnsi="宋体" w:cs="宋体"/>
          <w:b w:val="0"/>
          <w:bCs w:val="0"/>
          <w:sz w:val="24"/>
          <w:szCs w:val="24"/>
        </w:rPr>
        <w:t>.00</w:t>
      </w:r>
      <w:r>
        <w:rPr>
          <w:rFonts w:hint="eastAsia" w:hAnsi="宋体" w:cs="宋体"/>
          <w:b w:val="0"/>
          <w:bCs w:val="0"/>
          <w:sz w:val="24"/>
          <w:szCs w:val="24"/>
        </w:rPr>
        <w:t>元</w:t>
      </w:r>
      <w:r>
        <w:rPr>
          <w:rFonts w:hint="eastAsia" w:hAnsi="宋体" w:cs="宋体"/>
          <w:b w:val="0"/>
          <w:bCs w:val="0"/>
          <w:sz w:val="24"/>
          <w:szCs w:val="24"/>
          <w:lang w:val="en-US" w:eastAsia="zh-CN"/>
        </w:rPr>
        <w:t>/年</w:t>
      </w:r>
      <w:bookmarkEnd w:id="2"/>
      <w:r>
        <w:rPr>
          <w:rFonts w:hint="eastAsia" w:hAnsi="宋体" w:cs="宋体"/>
          <w:b w:val="0"/>
          <w:bCs w:val="0"/>
          <w:sz w:val="24"/>
          <w:szCs w:val="24"/>
          <w:lang w:eastAsia="zh-CN"/>
        </w:rPr>
        <w:t>，</w:t>
      </w:r>
      <w:r>
        <w:rPr>
          <w:rFonts w:hint="eastAsia" w:hAnsi="宋体" w:cs="宋体"/>
          <w:b w:val="0"/>
          <w:bCs w:val="0"/>
          <w:sz w:val="24"/>
          <w:szCs w:val="24"/>
          <w:lang w:val="en-US" w:eastAsia="zh-CN"/>
        </w:rPr>
        <w:t>一采三年，合同一年一签</w:t>
      </w:r>
      <w:r>
        <w:rPr>
          <w:rFonts w:hint="eastAsia" w:hAnsi="宋体" w:cs="宋体"/>
          <w:b w:val="0"/>
          <w:bCs w:val="0"/>
          <w:sz w:val="24"/>
          <w:szCs w:val="24"/>
        </w:rPr>
        <w:t>。</w:t>
      </w:r>
    </w:p>
    <w:p w14:paraId="462F81E3">
      <w:pPr>
        <w:pStyle w:val="2"/>
        <w:ind w:firstLine="960" w:firstLineChars="400"/>
        <w:rPr>
          <w:rFonts w:hint="eastAsia" w:ascii="Times New Roman" w:hAnsi="Times New Roman" w:eastAsia="宋体" w:cs="Times New Roman"/>
          <w:b w:val="0"/>
          <w:bCs/>
          <w:kern w:val="44"/>
          <w:sz w:val="24"/>
          <w:szCs w:val="22"/>
          <w:lang w:val="en-US" w:eastAsia="zh-CN" w:bidi="ar-SA"/>
        </w:rPr>
      </w:pPr>
      <w:r>
        <w:rPr>
          <w:rFonts w:hint="eastAsia" w:cs="Times New Roman"/>
          <w:b w:val="0"/>
          <w:bCs/>
          <w:kern w:val="44"/>
          <w:sz w:val="24"/>
          <w:szCs w:val="22"/>
          <w:lang w:val="en-US" w:eastAsia="zh-CN" w:bidi="ar-SA"/>
        </w:rPr>
        <w:t>（</w:t>
      </w:r>
      <w:r>
        <w:rPr>
          <w:rFonts w:hint="eastAsia" w:ascii="Times New Roman" w:hAnsi="Times New Roman" w:eastAsia="宋体" w:cs="Times New Roman"/>
          <w:b w:val="0"/>
          <w:bCs/>
          <w:kern w:val="44"/>
          <w:sz w:val="24"/>
          <w:szCs w:val="22"/>
          <w:lang w:val="en-US" w:eastAsia="zh-CN" w:bidi="ar-SA"/>
        </w:rPr>
        <w:t>本项目采</w:t>
      </w:r>
      <w:r>
        <w:rPr>
          <w:rFonts w:hint="eastAsia" w:cs="Times New Roman"/>
          <w:b w:val="0"/>
          <w:bCs/>
          <w:kern w:val="44"/>
          <w:sz w:val="24"/>
          <w:szCs w:val="22"/>
          <w:lang w:val="en-US" w:eastAsia="zh-CN" w:bidi="ar-SA"/>
        </w:rPr>
        <w:t>用</w:t>
      </w:r>
      <w:r>
        <w:rPr>
          <w:rFonts w:hint="eastAsia" w:ascii="Times New Roman" w:hAnsi="Times New Roman" w:eastAsia="宋体" w:cs="Times New Roman"/>
          <w:b w:val="0"/>
          <w:bCs/>
          <w:kern w:val="44"/>
          <w:sz w:val="24"/>
          <w:szCs w:val="22"/>
          <w:lang w:val="en-US" w:eastAsia="zh-CN" w:bidi="ar-SA"/>
        </w:rPr>
        <w:t>单价报价的方式，且项目总价不超过本项目采购预算</w:t>
      </w:r>
      <w:r>
        <w:rPr>
          <w:rFonts w:hint="eastAsia" w:cs="Times New Roman"/>
          <w:b w:val="0"/>
          <w:bCs/>
          <w:kern w:val="44"/>
          <w:sz w:val="24"/>
          <w:szCs w:val="22"/>
          <w:lang w:val="en-US" w:eastAsia="zh-CN" w:bidi="ar-SA"/>
        </w:rPr>
        <w:t>。）</w:t>
      </w:r>
    </w:p>
    <w:p w14:paraId="1C80475E">
      <w:pPr>
        <w:pStyle w:val="2"/>
        <w:rPr>
          <w:rFonts w:hint="eastAsia" w:ascii="Times New Roman" w:hAnsi="Times New Roman" w:eastAsia="宋体" w:cs="Times New Roman"/>
          <w:b/>
          <w:kern w:val="44"/>
          <w:sz w:val="24"/>
          <w:szCs w:val="22"/>
          <w:lang w:val="en-US" w:eastAsia="zh-CN" w:bidi="ar-SA"/>
        </w:rPr>
      </w:pPr>
      <w:r>
        <w:rPr>
          <w:rFonts w:hint="eastAsia" w:ascii="Times New Roman" w:hAnsi="Times New Roman" w:eastAsia="宋体" w:cs="Times New Roman"/>
          <w:b/>
          <w:kern w:val="44"/>
          <w:sz w:val="24"/>
          <w:szCs w:val="22"/>
          <w:lang w:val="en-US" w:eastAsia="zh-CN" w:bidi="ar-SA"/>
        </w:rPr>
        <w:t>三、</w:t>
      </w:r>
      <w:r>
        <w:rPr>
          <w:rFonts w:hint="eastAsia" w:cs="Times New Roman"/>
          <w:b/>
          <w:kern w:val="44"/>
          <w:sz w:val="24"/>
          <w:szCs w:val="22"/>
          <w:lang w:val="en-US" w:eastAsia="zh-CN" w:bidi="ar-SA"/>
        </w:rPr>
        <w:t>资费</w:t>
      </w:r>
      <w:r>
        <w:rPr>
          <w:rFonts w:hint="eastAsia" w:ascii="Times New Roman" w:hAnsi="Times New Roman" w:eastAsia="宋体" w:cs="Times New Roman"/>
          <w:b/>
          <w:kern w:val="44"/>
          <w:sz w:val="24"/>
          <w:szCs w:val="22"/>
          <w:lang w:val="en-US" w:eastAsia="zh-CN" w:bidi="ar-SA"/>
        </w:rPr>
        <w:t>清单：</w:t>
      </w:r>
    </w:p>
    <w:tbl>
      <w:tblPr>
        <w:tblStyle w:val="7"/>
        <w:tblW w:w="828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2239"/>
        <w:gridCol w:w="1815"/>
        <w:gridCol w:w="2640"/>
      </w:tblGrid>
      <w:tr w14:paraId="3E55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14:paraId="7BD1A765">
            <w:pPr>
              <w:spacing w:line="360" w:lineRule="auto"/>
              <w:jc w:val="center"/>
              <w:rPr>
                <w:rFonts w:hint="default" w:ascii="Times New Roman" w:hAnsi="Times New Roman" w:eastAsia="宋体" w:cs="Times New Roman"/>
                <w:b w:val="0"/>
                <w:bCs/>
                <w:kern w:val="44"/>
                <w:sz w:val="24"/>
                <w:szCs w:val="22"/>
                <w:vertAlign w:val="baseline"/>
                <w:lang w:val="en-US" w:eastAsia="zh-CN"/>
              </w:rPr>
            </w:pPr>
            <w:r>
              <w:rPr>
                <w:rFonts w:hint="eastAsia" w:cs="Times New Roman"/>
                <w:b w:val="0"/>
                <w:bCs/>
                <w:kern w:val="44"/>
                <w:sz w:val="24"/>
                <w:szCs w:val="22"/>
                <w:vertAlign w:val="baseline"/>
                <w:lang w:val="en-US" w:eastAsia="zh-CN"/>
              </w:rPr>
              <w:t>名称</w:t>
            </w:r>
          </w:p>
        </w:tc>
        <w:tc>
          <w:tcPr>
            <w:tcW w:w="2239" w:type="dxa"/>
          </w:tcPr>
          <w:p w14:paraId="0EF72F01">
            <w:pPr>
              <w:spacing w:line="360" w:lineRule="auto"/>
              <w:jc w:val="center"/>
              <w:rPr>
                <w:rFonts w:hint="default" w:ascii="Times New Roman" w:hAnsi="Times New Roman" w:eastAsia="宋体" w:cs="Times New Roman"/>
                <w:b w:val="0"/>
                <w:bCs/>
                <w:kern w:val="44"/>
                <w:sz w:val="24"/>
                <w:szCs w:val="22"/>
                <w:vertAlign w:val="baseline"/>
                <w:lang w:val="en-US" w:eastAsia="zh-CN"/>
              </w:rPr>
            </w:pPr>
            <w:r>
              <w:rPr>
                <w:rFonts w:hint="eastAsia" w:cs="Times New Roman"/>
                <w:b w:val="0"/>
                <w:bCs/>
                <w:kern w:val="44"/>
                <w:sz w:val="24"/>
                <w:szCs w:val="22"/>
                <w:vertAlign w:val="baseline"/>
                <w:lang w:val="en-US" w:eastAsia="zh-CN"/>
              </w:rPr>
              <w:t>服务内容</w:t>
            </w:r>
          </w:p>
        </w:tc>
        <w:tc>
          <w:tcPr>
            <w:tcW w:w="1815" w:type="dxa"/>
          </w:tcPr>
          <w:p w14:paraId="7636D960">
            <w:pPr>
              <w:spacing w:line="360" w:lineRule="auto"/>
              <w:jc w:val="center"/>
              <w:rPr>
                <w:rFonts w:hint="default" w:ascii="Times New Roman" w:hAnsi="Times New Roman" w:eastAsia="宋体" w:cs="Times New Roman"/>
                <w:b w:val="0"/>
                <w:bCs/>
                <w:kern w:val="44"/>
                <w:sz w:val="24"/>
                <w:szCs w:val="22"/>
                <w:vertAlign w:val="baseline"/>
                <w:lang w:val="en-US" w:eastAsia="zh-CN"/>
              </w:rPr>
            </w:pPr>
            <w:r>
              <w:rPr>
                <w:rFonts w:hint="eastAsia" w:cs="Times New Roman"/>
                <w:b w:val="0"/>
                <w:bCs/>
                <w:kern w:val="44"/>
                <w:sz w:val="24"/>
                <w:szCs w:val="22"/>
                <w:vertAlign w:val="baseline"/>
                <w:lang w:val="en-US" w:eastAsia="zh-CN"/>
              </w:rPr>
              <w:t>单价限价</w:t>
            </w:r>
          </w:p>
        </w:tc>
        <w:tc>
          <w:tcPr>
            <w:tcW w:w="2640" w:type="dxa"/>
          </w:tcPr>
          <w:p w14:paraId="4ADD8803">
            <w:pPr>
              <w:spacing w:line="360" w:lineRule="auto"/>
              <w:jc w:val="center"/>
              <w:rPr>
                <w:rFonts w:hint="default" w:ascii="Times New Roman" w:hAnsi="Times New Roman" w:eastAsia="宋体" w:cs="Times New Roman"/>
                <w:b w:val="0"/>
                <w:bCs/>
                <w:kern w:val="44"/>
                <w:sz w:val="24"/>
                <w:szCs w:val="22"/>
                <w:vertAlign w:val="baseline"/>
                <w:lang w:val="en-US" w:eastAsia="zh-CN"/>
              </w:rPr>
            </w:pPr>
            <w:r>
              <w:rPr>
                <w:rFonts w:hint="eastAsia" w:cs="Times New Roman"/>
                <w:b w:val="0"/>
                <w:bCs/>
                <w:kern w:val="44"/>
                <w:sz w:val="24"/>
                <w:szCs w:val="22"/>
                <w:vertAlign w:val="baseline"/>
                <w:lang w:val="en-US" w:eastAsia="zh-CN"/>
              </w:rPr>
              <w:t>备注</w:t>
            </w:r>
          </w:p>
        </w:tc>
      </w:tr>
      <w:tr w14:paraId="11F7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14:paraId="2F25361E">
            <w:pPr>
              <w:spacing w:line="360" w:lineRule="auto"/>
              <w:jc w:val="center"/>
              <w:rPr>
                <w:rFonts w:hint="eastAsia" w:ascii="宋体" w:hAnsi="宋体" w:cs="宋体"/>
                <w:sz w:val="24"/>
                <w:highlight w:val="none"/>
                <w:shd w:val="clear" w:color="auto" w:fill="auto"/>
                <w:lang w:val="en-US" w:eastAsia="zh-CN"/>
              </w:rPr>
            </w:pPr>
            <w:r>
              <w:rPr>
                <w:rFonts w:hint="eastAsia" w:ascii="宋体" w:hAnsi="宋体" w:cs="宋体"/>
                <w:sz w:val="24"/>
                <w:highlight w:val="none"/>
                <w:shd w:val="clear" w:color="auto" w:fill="auto"/>
                <w:lang w:val="en-US" w:eastAsia="zh-CN"/>
              </w:rPr>
              <w:t>病房宽带及电视服务</w:t>
            </w:r>
          </w:p>
        </w:tc>
        <w:tc>
          <w:tcPr>
            <w:tcW w:w="2239" w:type="dxa"/>
          </w:tcPr>
          <w:p w14:paraId="5513F62A">
            <w:pPr>
              <w:spacing w:line="360" w:lineRule="auto"/>
              <w:jc w:val="center"/>
              <w:rPr>
                <w:rFonts w:hint="eastAsia" w:ascii="宋体" w:hAnsi="宋体" w:cs="宋体"/>
                <w:sz w:val="24"/>
                <w:highlight w:val="none"/>
                <w:shd w:val="clear" w:color="auto" w:fill="auto"/>
                <w:lang w:val="en-US" w:eastAsia="zh-CN"/>
              </w:rPr>
            </w:pPr>
            <w:r>
              <w:rPr>
                <w:rFonts w:hint="eastAsia" w:ascii="宋体" w:hAnsi="宋体" w:cs="宋体"/>
                <w:sz w:val="24"/>
                <w:highlight w:val="none"/>
                <w:shd w:val="clear" w:color="auto" w:fill="auto"/>
                <w:lang w:val="en-US" w:eastAsia="zh-CN"/>
              </w:rPr>
              <w:t>电视</w:t>
            </w:r>
          </w:p>
          <w:p w14:paraId="27F5E0C7">
            <w:pPr>
              <w:spacing w:line="360" w:lineRule="auto"/>
              <w:jc w:val="center"/>
              <w:rPr>
                <w:rFonts w:hint="eastAsia"/>
                <w:lang w:val="en-US" w:eastAsia="zh-CN"/>
              </w:rPr>
            </w:pPr>
            <w:r>
              <w:rPr>
                <w:rFonts w:hint="eastAsia" w:ascii="宋体" w:hAnsi="宋体" w:cs="宋体"/>
                <w:sz w:val="24"/>
                <w:highlight w:val="none"/>
                <w:shd w:val="clear" w:color="auto" w:fill="auto"/>
                <w:lang w:val="en-US" w:eastAsia="zh-CN"/>
              </w:rPr>
              <w:t>宽带</w:t>
            </w:r>
          </w:p>
          <w:p w14:paraId="2A047C01">
            <w:pPr>
              <w:spacing w:line="360" w:lineRule="auto"/>
              <w:jc w:val="center"/>
              <w:rPr>
                <w:rFonts w:hint="default"/>
                <w:lang w:val="en-US" w:eastAsia="zh-CN"/>
              </w:rPr>
            </w:pPr>
            <w:r>
              <w:rPr>
                <w:rFonts w:hint="eastAsia"/>
                <w:lang w:val="en-US" w:eastAsia="zh-CN"/>
              </w:rPr>
              <w:t>WiFi</w:t>
            </w:r>
          </w:p>
        </w:tc>
        <w:tc>
          <w:tcPr>
            <w:tcW w:w="1815" w:type="dxa"/>
          </w:tcPr>
          <w:p w14:paraId="0C115924">
            <w:pPr>
              <w:spacing w:line="360" w:lineRule="auto"/>
              <w:jc w:val="center"/>
              <w:rPr>
                <w:rFonts w:hint="default" w:ascii="宋体" w:hAnsi="宋体" w:cs="宋体"/>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8元/月/点位</w:t>
            </w:r>
          </w:p>
        </w:tc>
        <w:tc>
          <w:tcPr>
            <w:tcW w:w="2640" w:type="dxa"/>
          </w:tcPr>
          <w:p w14:paraId="3D919755">
            <w:pPr>
              <w:spacing w:line="360" w:lineRule="auto"/>
              <w:jc w:val="center"/>
              <w:rPr>
                <w:rFonts w:hint="default" w:ascii="宋体" w:hAnsi="宋体" w:cs="宋体"/>
                <w:sz w:val="24"/>
                <w:highlight w:val="none"/>
                <w:shd w:val="clear" w:color="auto" w:fill="auto"/>
                <w:lang w:val="en-US" w:eastAsia="zh-CN"/>
              </w:rPr>
            </w:pPr>
            <w:r>
              <w:rPr>
                <w:rFonts w:hint="eastAsia" w:ascii="宋体" w:hAnsi="宋体" w:cs="宋体"/>
                <w:sz w:val="24"/>
                <w:highlight w:val="none"/>
                <w:shd w:val="clear" w:color="auto" w:fill="auto"/>
                <w:lang w:val="en-US" w:eastAsia="zh-CN"/>
              </w:rPr>
              <w:t>定制页面，电视直播。</w:t>
            </w:r>
          </w:p>
        </w:tc>
      </w:tr>
    </w:tbl>
    <w:p w14:paraId="201E1C7A">
      <w:pPr>
        <w:spacing w:line="360" w:lineRule="auto"/>
        <w:rPr>
          <w:rFonts w:hint="default" w:ascii="宋体" w:hAnsi="宋体" w:eastAsia="宋体" w:cs="宋体"/>
          <w:b/>
          <w:sz w:val="28"/>
          <w:szCs w:val="28"/>
          <w:lang w:val="en-US" w:eastAsia="zh-CN"/>
        </w:rPr>
      </w:pPr>
      <w:r>
        <w:rPr>
          <w:rFonts w:hint="eastAsia" w:cs="Times New Roman"/>
          <w:b/>
          <w:kern w:val="44"/>
          <w:sz w:val="24"/>
          <w:szCs w:val="22"/>
          <w:lang w:val="en-US" w:eastAsia="zh-CN"/>
        </w:rPr>
        <w:t>四</w:t>
      </w:r>
      <w:r>
        <w:rPr>
          <w:rFonts w:hint="eastAsia" w:ascii="Times New Roman" w:hAnsi="Times New Roman" w:eastAsia="宋体" w:cs="Times New Roman"/>
          <w:b/>
          <w:kern w:val="44"/>
          <w:sz w:val="24"/>
          <w:szCs w:val="22"/>
        </w:rPr>
        <w:t>、</w:t>
      </w:r>
      <w:r>
        <w:rPr>
          <w:rFonts w:hint="eastAsia" w:ascii="Times New Roman" w:hAnsi="Times New Roman" w:eastAsia="宋体" w:cs="Times New Roman"/>
          <w:b/>
          <w:kern w:val="44"/>
          <w:sz w:val="24"/>
          <w:szCs w:val="22"/>
          <w:lang w:val="en-US" w:eastAsia="zh-CN"/>
        </w:rPr>
        <w:t>服务内容：</w:t>
      </w:r>
    </w:p>
    <w:p w14:paraId="2DEE7800">
      <w:pPr>
        <w:spacing w:line="360" w:lineRule="auto"/>
        <w:ind w:left="1"/>
        <w:rPr>
          <w:rFonts w:hint="eastAsia" w:ascii="宋体" w:hAnsi="宋体" w:cs="宋体"/>
          <w:b/>
          <w:kern w:val="0"/>
          <w:sz w:val="24"/>
        </w:rPr>
      </w:pPr>
      <w:r>
        <w:rPr>
          <w:rFonts w:hint="eastAsia" w:ascii="宋体" w:hAnsi="宋体" w:cs="宋体"/>
          <w:b/>
          <w:kern w:val="0"/>
          <w:sz w:val="24"/>
        </w:rPr>
        <w:t>（一）技术要求：</w:t>
      </w:r>
    </w:p>
    <w:p w14:paraId="6DC17A54">
      <w:pPr>
        <w:spacing w:line="360" w:lineRule="auto"/>
        <w:ind w:firstLine="480" w:firstLineChars="200"/>
        <w:rPr>
          <w:rFonts w:ascii="宋体" w:hAnsi="宋体" w:cs="宋体"/>
          <w:sz w:val="24"/>
          <w:highlight w:val="none"/>
          <w:shd w:val="clear" w:color="auto" w:fill="auto"/>
        </w:rPr>
      </w:pPr>
      <w:r>
        <w:rPr>
          <w:rFonts w:hint="eastAsia" w:ascii="宋体" w:hAnsi="宋体" w:cs="宋体"/>
          <w:bCs/>
          <w:kern w:val="0"/>
          <w:sz w:val="24"/>
          <w:highlight w:val="none"/>
          <w:shd w:val="clear" w:color="auto" w:fill="auto"/>
        </w:rPr>
        <w:t>1</w:t>
      </w:r>
      <w:r>
        <w:rPr>
          <w:rFonts w:hint="eastAsia" w:ascii="宋体" w:hAnsi="宋体" w:cs="宋体"/>
          <w:bCs/>
          <w:kern w:val="0"/>
          <w:sz w:val="24"/>
          <w:highlight w:val="none"/>
          <w:shd w:val="clear" w:color="auto" w:fill="auto"/>
          <w:lang w:val="en-US" w:eastAsia="zh-CN"/>
        </w:rPr>
        <w:t>.</w:t>
      </w:r>
      <w:r>
        <w:rPr>
          <w:rFonts w:hint="eastAsia" w:ascii="宋体" w:hAnsi="宋体" w:cs="宋体"/>
          <w:bCs/>
          <w:sz w:val="24"/>
          <w:highlight w:val="none"/>
          <w:shd w:val="clear" w:color="auto" w:fill="auto"/>
        </w:rPr>
        <w:t>网</w:t>
      </w:r>
      <w:r>
        <w:rPr>
          <w:rFonts w:hint="eastAsia" w:ascii="宋体" w:hAnsi="宋体" w:cs="宋体"/>
          <w:sz w:val="24"/>
          <w:highlight w:val="none"/>
          <w:shd w:val="clear" w:color="auto" w:fill="auto"/>
        </w:rPr>
        <w:t>络：每个点位提供一条20M有线网络接入，每个房间独立WIFI覆盖。（共271个点位）</w:t>
      </w:r>
    </w:p>
    <w:p w14:paraId="3802A55F">
      <w:pPr>
        <w:spacing w:line="360" w:lineRule="auto"/>
        <w:ind w:firstLine="480" w:firstLineChars="200"/>
        <w:rPr>
          <w:rFonts w:ascii="宋体" w:hAnsi="宋体" w:cs="宋体"/>
          <w:sz w:val="24"/>
          <w:highlight w:val="none"/>
          <w:shd w:val="clear" w:color="auto" w:fill="auto"/>
        </w:rPr>
      </w:pPr>
      <w:r>
        <w:rPr>
          <w:rFonts w:hint="eastAsia" w:ascii="宋体" w:hAnsi="宋体" w:cs="宋体"/>
          <w:sz w:val="24"/>
          <w:highlight w:val="none"/>
          <w:shd w:val="clear" w:color="auto" w:fill="auto"/>
        </w:rPr>
        <w:t>2</w:t>
      </w:r>
      <w:r>
        <w:rPr>
          <w:rFonts w:hint="eastAsia" w:ascii="宋体" w:hAnsi="宋体" w:cs="宋体"/>
          <w:sz w:val="24"/>
          <w:highlight w:val="none"/>
          <w:shd w:val="clear" w:color="auto" w:fill="auto"/>
          <w:lang w:val="en-US" w:eastAsia="zh-CN"/>
        </w:rPr>
        <w:t>.</w:t>
      </w:r>
      <w:r>
        <w:rPr>
          <w:rFonts w:hint="eastAsia" w:ascii="宋体" w:hAnsi="宋体" w:cs="宋体"/>
          <w:sz w:val="24"/>
          <w:highlight w:val="none"/>
          <w:shd w:val="clear" w:color="auto" w:fill="auto"/>
        </w:rPr>
        <w:t>电视：房间独立收视，每个房间一个机顶盒，提供高达4K分辨率的互联网电视直播。（共271个点位）</w:t>
      </w:r>
    </w:p>
    <w:p w14:paraId="09AB6768">
      <w:pPr>
        <w:spacing w:line="360" w:lineRule="auto"/>
        <w:ind w:firstLine="480" w:firstLineChars="200"/>
        <w:rPr>
          <w:rFonts w:hint="eastAsia" w:ascii="宋体" w:hAnsi="宋体" w:cs="宋体"/>
          <w:sz w:val="24"/>
          <w:highlight w:val="none"/>
          <w:shd w:val="clear" w:color="auto" w:fill="auto"/>
        </w:rPr>
      </w:pPr>
      <w:r>
        <w:rPr>
          <w:rFonts w:hint="eastAsia" w:ascii="宋体" w:hAnsi="宋体" w:cs="宋体"/>
          <w:sz w:val="24"/>
          <w:highlight w:val="none"/>
          <w:shd w:val="clear" w:color="auto" w:fill="auto"/>
        </w:rPr>
        <w:t>3</w:t>
      </w:r>
      <w:r>
        <w:rPr>
          <w:rFonts w:hint="eastAsia" w:ascii="宋体" w:hAnsi="宋体" w:cs="宋体"/>
          <w:sz w:val="24"/>
          <w:highlight w:val="none"/>
          <w:shd w:val="clear" w:color="auto" w:fill="auto"/>
          <w:lang w:val="en-US" w:eastAsia="zh-CN"/>
        </w:rPr>
        <w:t>.</w:t>
      </w:r>
      <w:r>
        <w:rPr>
          <w:rFonts w:hint="eastAsia" w:ascii="宋体" w:hAnsi="宋体" w:cs="宋体"/>
          <w:sz w:val="24"/>
          <w:highlight w:val="none"/>
          <w:shd w:val="clear" w:color="auto" w:fill="auto"/>
        </w:rPr>
        <w:t>免费提供并上门安装光猫、</w:t>
      </w:r>
      <w:r>
        <w:rPr>
          <w:rFonts w:hint="eastAsia" w:ascii="宋体" w:hAnsi="宋体" w:cs="宋体"/>
          <w:sz w:val="24"/>
          <w:highlight w:val="none"/>
          <w:shd w:val="clear" w:color="auto" w:fill="auto"/>
          <w:lang w:val="en-US" w:eastAsia="zh-CN"/>
        </w:rPr>
        <w:t>机顶盒</w:t>
      </w:r>
      <w:r>
        <w:rPr>
          <w:rFonts w:hint="eastAsia" w:ascii="宋体" w:hAnsi="宋体" w:cs="宋体"/>
          <w:sz w:val="24"/>
          <w:highlight w:val="none"/>
          <w:shd w:val="clear" w:color="auto" w:fill="auto"/>
        </w:rPr>
        <w:t>等设备，以实现房间内互联网宽带、WIFI、电视等功能。</w:t>
      </w:r>
    </w:p>
    <w:p w14:paraId="0757BE14">
      <w:pPr>
        <w:spacing w:line="360" w:lineRule="auto"/>
        <w:ind w:firstLine="480" w:firstLineChars="200"/>
        <w:rPr>
          <w:rFonts w:hint="eastAsia" w:ascii="宋体" w:hAnsi="宋体" w:cs="宋体"/>
          <w:sz w:val="24"/>
          <w:highlight w:val="none"/>
          <w:shd w:val="clear" w:color="auto" w:fill="auto"/>
          <w:lang w:val="en-US" w:eastAsia="zh-CN"/>
        </w:rPr>
      </w:pPr>
      <w:r>
        <w:rPr>
          <w:rFonts w:hint="eastAsia" w:ascii="宋体" w:hAnsi="宋体" w:cs="宋体"/>
          <w:sz w:val="24"/>
          <w:highlight w:val="none"/>
          <w:shd w:val="clear" w:color="auto" w:fill="auto"/>
          <w:lang w:val="en-US" w:eastAsia="zh-CN"/>
        </w:rPr>
        <w:t>4.开机定制画面页面和语言，展示医院图片和医院话术。（由医院提供照片，供应商进行开机画面制作）</w:t>
      </w:r>
    </w:p>
    <w:p w14:paraId="2B73FC31">
      <w:pPr>
        <w:pStyle w:val="2"/>
        <w:ind w:firstLine="482" w:firstLineChars="200"/>
        <w:rPr>
          <w:rFonts w:hint="default"/>
          <w:b/>
          <w:bCs/>
          <w:lang w:val="en-US" w:eastAsia="zh-CN"/>
        </w:rPr>
      </w:pPr>
      <w:r>
        <w:rPr>
          <w:rFonts w:hint="eastAsia" w:ascii="宋体" w:hAnsi="宋体" w:cs="宋体"/>
          <w:b/>
          <w:bCs/>
          <w:sz w:val="24"/>
          <w:highlight w:val="none"/>
          <w:shd w:val="clear" w:color="auto" w:fill="auto"/>
          <w:lang w:val="en-US" w:eastAsia="zh-CN"/>
        </w:rPr>
        <w:t>备注：后续若增加房间数的，按实际增加的房间数收取费用。</w:t>
      </w:r>
    </w:p>
    <w:p w14:paraId="3130587C">
      <w:pPr>
        <w:spacing w:line="360" w:lineRule="auto"/>
        <w:ind w:left="1"/>
        <w:rPr>
          <w:rFonts w:hint="eastAsia" w:ascii="宋体" w:hAnsi="宋体" w:cs="宋体"/>
          <w:b/>
          <w:kern w:val="0"/>
          <w:sz w:val="24"/>
        </w:rPr>
      </w:pPr>
      <w:r>
        <w:rPr>
          <w:rFonts w:hint="eastAsia" w:ascii="宋体" w:hAnsi="宋体" w:cs="宋体"/>
          <w:b/>
          <w:kern w:val="0"/>
          <w:sz w:val="24"/>
        </w:rPr>
        <w:t>（二）服务要求：</w:t>
      </w:r>
    </w:p>
    <w:p w14:paraId="319635FE">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为采购人配备固定的客户经理，长期负责采购人随时咨询和求助，定期回访</w:t>
      </w:r>
      <w:r>
        <w:rPr>
          <w:rFonts w:hint="eastAsia" w:ascii="宋体" w:hAnsi="宋体" w:cs="宋体"/>
          <w:sz w:val="24"/>
          <w:lang w:eastAsia="zh-CN"/>
        </w:rPr>
        <w:t>；</w:t>
      </w:r>
      <w:r>
        <w:rPr>
          <w:rFonts w:hint="eastAsia" w:ascii="宋体" w:hAnsi="宋体" w:cs="宋体"/>
          <w:sz w:val="24"/>
        </w:rPr>
        <w:t>配备专员进行安装调试、维修维保服务。</w:t>
      </w:r>
    </w:p>
    <w:p w14:paraId="526FCA9D">
      <w:pPr>
        <w:spacing w:line="360" w:lineRule="auto"/>
        <w:ind w:firstLine="480" w:firstLineChars="200"/>
        <w:rPr>
          <w:rFonts w:hint="eastAsia" w:ascii="宋体" w:hAnsi="宋体"/>
          <w:color w:val="auto"/>
        </w:rPr>
      </w:pPr>
      <w:r>
        <w:rPr>
          <w:rFonts w:hint="eastAsia" w:ascii="宋体" w:hAnsi="宋体" w:cs="宋体"/>
          <w:color w:val="auto"/>
          <w:sz w:val="24"/>
          <w:lang w:val="en-US" w:eastAsia="zh-CN"/>
        </w:rPr>
        <w:t>2.</w:t>
      </w:r>
      <w:r>
        <w:rPr>
          <w:rFonts w:hint="eastAsia" w:ascii="宋体" w:hAnsi="宋体" w:cs="宋体"/>
          <w:color w:val="auto"/>
          <w:sz w:val="24"/>
        </w:rPr>
        <w:t>每周7天，每天24小时受理用户有关业务故障的申告，接到采购人故障通知15分钟内响应，需要到现场的</w:t>
      </w:r>
      <w:r>
        <w:rPr>
          <w:rFonts w:hint="eastAsia" w:ascii="宋体" w:hAnsi="宋体" w:cs="宋体"/>
          <w:color w:val="auto"/>
          <w:sz w:val="24"/>
          <w:lang w:val="en-US" w:eastAsia="zh-CN"/>
        </w:rPr>
        <w:t>2</w:t>
      </w:r>
      <w:r>
        <w:rPr>
          <w:rFonts w:hint="eastAsia" w:ascii="宋体" w:hAnsi="宋体" w:cs="宋体"/>
          <w:color w:val="auto"/>
          <w:sz w:val="24"/>
        </w:rPr>
        <w:t>小时内到达故障现场进行处理，对于线路障碍的（包括设备故障）4小时内恢复。</w:t>
      </w:r>
      <w:r>
        <w:rPr>
          <w:rFonts w:hint="eastAsia" w:ascii="宋体" w:hAnsi="宋体" w:cs="宋体"/>
          <w:b/>
          <w:bCs/>
          <w:color w:val="auto"/>
          <w:sz w:val="24"/>
          <w:lang w:eastAsia="zh-CN"/>
        </w:rPr>
        <w:t>（</w:t>
      </w:r>
      <w:r>
        <w:rPr>
          <w:rFonts w:hint="eastAsia" w:ascii="宋体" w:hAnsi="宋体" w:cs="宋体"/>
          <w:b/>
          <w:bCs/>
          <w:color w:val="auto"/>
          <w:sz w:val="24"/>
          <w:lang w:val="en-US" w:eastAsia="zh-CN"/>
        </w:rPr>
        <w:t>提供承诺函</w:t>
      </w:r>
      <w:r>
        <w:rPr>
          <w:rFonts w:hint="eastAsia" w:ascii="宋体" w:hAnsi="宋体" w:cs="宋体"/>
          <w:b/>
          <w:bCs/>
          <w:color w:val="auto"/>
          <w:sz w:val="24"/>
          <w:lang w:eastAsia="zh-CN"/>
        </w:rPr>
        <w:t>）</w:t>
      </w:r>
    </w:p>
    <w:bookmarkEnd w:id="0"/>
    <w:p w14:paraId="61CB9B25">
      <w:pPr>
        <w:spacing w:line="360" w:lineRule="auto"/>
        <w:rPr>
          <w:rFonts w:hint="eastAsia" w:ascii="宋体" w:hAnsi="宋体" w:cs="宋体"/>
          <w:b/>
          <w:sz w:val="24"/>
          <w:szCs w:val="24"/>
        </w:rPr>
      </w:pPr>
      <w:bookmarkStart w:id="3" w:name="OLE_LINK5"/>
      <w:r>
        <w:rPr>
          <w:rFonts w:hint="eastAsia" w:ascii="仿宋" w:hAnsi="仿宋" w:eastAsia="仿宋" w:cs="仿宋"/>
          <w:color w:val="auto"/>
          <w:sz w:val="24"/>
          <w:szCs w:val="24"/>
          <w:lang w:eastAsia="zh-CN"/>
        </w:rPr>
        <w:t>★</w:t>
      </w:r>
      <w:bookmarkEnd w:id="3"/>
      <w:r>
        <w:rPr>
          <w:rFonts w:hint="eastAsia" w:ascii="宋体" w:hAnsi="宋体"/>
          <w:b/>
          <w:bCs/>
          <w:sz w:val="24"/>
          <w:lang w:val="en-US" w:eastAsia="zh-CN"/>
        </w:rPr>
        <w:t>五</w:t>
      </w:r>
      <w:r>
        <w:rPr>
          <w:rFonts w:hint="eastAsia" w:ascii="宋体" w:hAnsi="宋体" w:cs="宋体"/>
          <w:b/>
          <w:sz w:val="28"/>
          <w:szCs w:val="28"/>
        </w:rPr>
        <w:t>、</w:t>
      </w:r>
      <w:r>
        <w:rPr>
          <w:rFonts w:hint="eastAsia" w:ascii="宋体" w:hAnsi="宋体" w:cs="宋体"/>
          <w:b/>
          <w:sz w:val="24"/>
          <w:szCs w:val="24"/>
        </w:rPr>
        <w:t>商务要求</w:t>
      </w:r>
    </w:p>
    <w:p w14:paraId="52AA701A">
      <w:pPr>
        <w:spacing w:line="360" w:lineRule="auto"/>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w:t>
      </w:r>
      <w:r>
        <w:rPr>
          <w:rFonts w:hint="eastAsia" w:ascii="宋体" w:hAnsi="宋体" w:cs="宋体"/>
          <w:sz w:val="24"/>
          <w:highlight w:val="none"/>
        </w:rPr>
        <w:t>服务期限：</w:t>
      </w:r>
      <w:r>
        <w:rPr>
          <w:rStyle w:val="9"/>
          <w:rFonts w:hint="eastAsia" w:ascii="宋体" w:hAnsi="宋体"/>
          <w:highlight w:val="none"/>
          <w:u w:val="none"/>
          <w:lang w:val="en-US" w:eastAsia="zh-CN"/>
        </w:rPr>
        <w:t>三年，合同一年一签。</w:t>
      </w:r>
    </w:p>
    <w:p w14:paraId="16D6699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w:t>
      </w:r>
      <w:r>
        <w:rPr>
          <w:rFonts w:hint="eastAsia" w:ascii="宋体" w:hAnsi="宋体" w:cs="宋体"/>
          <w:sz w:val="24"/>
          <w:highlight w:val="none"/>
        </w:rPr>
        <w:t>服务地点：采购人指定地点。</w:t>
      </w:r>
    </w:p>
    <w:p w14:paraId="61D986B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w:t>
      </w:r>
      <w:r>
        <w:rPr>
          <w:rFonts w:hint="eastAsia" w:ascii="宋体" w:hAnsi="宋体" w:cs="宋体"/>
          <w:sz w:val="24"/>
          <w:highlight w:val="none"/>
        </w:rPr>
        <w:t>付款方式：采购人验收合格后收到成交人提供的正式发票30天内</w:t>
      </w:r>
      <w:r>
        <w:rPr>
          <w:rFonts w:hint="eastAsia" w:ascii="宋体" w:hAnsi="宋体" w:cs="宋体"/>
          <w:sz w:val="24"/>
          <w:highlight w:val="none"/>
          <w:lang w:eastAsia="zh-CN"/>
        </w:rPr>
        <w:t>，</w:t>
      </w:r>
      <w:r>
        <w:rPr>
          <w:rFonts w:hint="eastAsia" w:ascii="宋体" w:hAnsi="宋体" w:cs="宋体"/>
          <w:sz w:val="24"/>
          <w:highlight w:val="none"/>
          <w:lang w:val="en-US" w:eastAsia="zh-CN"/>
        </w:rPr>
        <w:t>按照实际安装点位</w:t>
      </w:r>
      <w:r>
        <w:rPr>
          <w:rFonts w:hint="eastAsia" w:ascii="宋体" w:hAnsi="宋体" w:cs="宋体"/>
          <w:sz w:val="24"/>
          <w:highlight w:val="none"/>
        </w:rPr>
        <w:t>支付</w:t>
      </w:r>
      <w:r>
        <w:rPr>
          <w:rFonts w:hint="eastAsia" w:ascii="宋体" w:hAnsi="宋体" w:cs="宋体"/>
          <w:sz w:val="24"/>
          <w:highlight w:val="none"/>
          <w:lang w:eastAsia="zh-CN"/>
        </w:rPr>
        <w:t>，</w:t>
      </w:r>
      <w:r>
        <w:rPr>
          <w:rFonts w:hint="eastAsia" w:ascii="宋体" w:hAnsi="宋体" w:cs="宋体"/>
          <w:sz w:val="24"/>
          <w:highlight w:val="none"/>
        </w:rPr>
        <w:t>结算时间按每月据实结算</w:t>
      </w:r>
      <w:r>
        <w:rPr>
          <w:rFonts w:hint="eastAsia" w:ascii="宋体" w:hAnsi="宋体" w:cs="宋体"/>
          <w:sz w:val="24"/>
          <w:highlight w:val="none"/>
          <w:lang w:eastAsia="zh-CN"/>
        </w:rPr>
        <w:t>，</w:t>
      </w:r>
      <w:r>
        <w:rPr>
          <w:rFonts w:hint="eastAsia" w:ascii="宋体" w:hAnsi="宋体" w:cs="宋体"/>
          <w:sz w:val="24"/>
          <w:highlight w:val="none"/>
          <w:lang w:val="en-US" w:eastAsia="zh-CN"/>
        </w:rPr>
        <w:t>全年总价不超过30000</w:t>
      </w:r>
      <w:r>
        <w:rPr>
          <w:rFonts w:hint="eastAsia" w:ascii="宋体" w:hAnsi="宋体" w:cs="宋体"/>
          <w:sz w:val="24"/>
          <w:highlight w:val="none"/>
        </w:rPr>
        <w:t>.00元</w:t>
      </w:r>
      <w:r>
        <w:rPr>
          <w:rFonts w:hint="eastAsia" w:ascii="宋体" w:hAnsi="宋体" w:cs="宋体"/>
          <w:sz w:val="24"/>
          <w:highlight w:val="none"/>
          <w:lang w:eastAsia="zh-CN"/>
        </w:rPr>
        <w:t>，</w:t>
      </w:r>
      <w:r>
        <w:rPr>
          <w:rFonts w:hint="eastAsia" w:ascii="宋体" w:hAnsi="宋体" w:cs="宋体"/>
          <w:sz w:val="24"/>
          <w:highlight w:val="none"/>
        </w:rPr>
        <w:t>超过的部分甲方无须支付，由乙方自行承担。</w:t>
      </w:r>
    </w:p>
    <w:p w14:paraId="13435ED0">
      <w:pPr>
        <w:spacing w:line="360" w:lineRule="auto"/>
        <w:ind w:firstLine="480" w:firstLineChars="200"/>
        <w:rPr>
          <w:rFonts w:hint="eastAsia" w:ascii="宋体" w:hAnsi="宋体" w:cs="宋体"/>
          <w:b/>
          <w:bCs/>
          <w:sz w:val="24"/>
          <w:lang w:eastAsia="zh-CN"/>
        </w:rPr>
      </w:pPr>
      <w:r>
        <w:rPr>
          <w:rFonts w:hint="eastAsia" w:ascii="宋体" w:hAnsi="宋体" w:cs="宋体"/>
          <w:sz w:val="24"/>
          <w:highlight w:val="none"/>
          <w:lang w:val="en-US" w:eastAsia="zh-CN"/>
        </w:rPr>
        <w:t>4.</w:t>
      </w:r>
      <w:r>
        <w:rPr>
          <w:rFonts w:hint="eastAsia" w:ascii="宋体" w:hAnsi="宋体" w:cs="宋体"/>
          <w:sz w:val="24"/>
          <w:highlight w:val="none"/>
        </w:rPr>
        <w:t>履约</w:t>
      </w:r>
      <w:r>
        <w:rPr>
          <w:rFonts w:hint="eastAsia" w:ascii="宋体" w:hAnsi="宋体" w:cs="宋体"/>
          <w:sz w:val="24"/>
          <w:highlight w:val="none"/>
          <w:lang w:val="en-US" w:eastAsia="zh-CN"/>
        </w:rPr>
        <w:t>验收</w:t>
      </w:r>
      <w:r>
        <w:rPr>
          <w:rFonts w:hint="eastAsia" w:ascii="宋体" w:hAnsi="宋体" w:cs="宋体"/>
          <w:sz w:val="24"/>
          <w:highlight w:val="none"/>
        </w:rPr>
        <w:t>：</w:t>
      </w:r>
      <w:r>
        <w:rPr>
          <w:rFonts w:hint="eastAsia" w:ascii="宋体" w:hAnsi="宋体" w:cs="宋体"/>
          <w:sz w:val="24"/>
          <w:highlight w:val="none"/>
          <w:lang w:val="en-US" w:eastAsia="zh-CN"/>
        </w:rPr>
        <w:t>合同签订后</w:t>
      </w:r>
      <w:r>
        <w:rPr>
          <w:rFonts w:hint="eastAsia" w:ascii="宋体" w:hAnsi="宋体" w:cs="宋体"/>
          <w:sz w:val="24"/>
          <w:highlight w:val="none"/>
        </w:rPr>
        <w:t>中标供应商在</w:t>
      </w:r>
      <w:r>
        <w:rPr>
          <w:rFonts w:hint="eastAsia" w:ascii="宋体" w:hAnsi="宋体" w:cs="宋体"/>
          <w:sz w:val="24"/>
          <w:highlight w:val="none"/>
          <w:lang w:val="en-US" w:eastAsia="zh-CN"/>
        </w:rPr>
        <w:t>7个工作日内</w:t>
      </w:r>
      <w:r>
        <w:rPr>
          <w:rFonts w:hint="eastAsia" w:ascii="宋体" w:hAnsi="宋体" w:cs="宋体"/>
          <w:sz w:val="24"/>
          <w:highlight w:val="none"/>
          <w:u w:val="none"/>
        </w:rPr>
        <w:t>完</w:t>
      </w:r>
      <w:r>
        <w:rPr>
          <w:rFonts w:hint="eastAsia" w:ascii="宋体" w:hAnsi="宋体" w:cs="宋体"/>
          <w:sz w:val="24"/>
          <w:highlight w:val="none"/>
        </w:rPr>
        <w:t>成所有施工布线及设备调试安装，</w:t>
      </w:r>
      <w:r>
        <w:rPr>
          <w:rFonts w:hint="eastAsia" w:ascii="宋体" w:hAnsi="宋体" w:cs="宋体"/>
          <w:sz w:val="24"/>
          <w:highlight w:val="none"/>
          <w:lang w:val="en-US" w:eastAsia="zh-CN"/>
        </w:rPr>
        <w:t>中标供应商应</w:t>
      </w:r>
      <w:r>
        <w:rPr>
          <w:rFonts w:hint="eastAsia" w:ascii="宋体" w:hAnsi="宋体" w:cs="宋体"/>
          <w:sz w:val="24"/>
          <w:highlight w:val="none"/>
        </w:rPr>
        <w:t>保证采购人所有点位信号到位，电视及宽带服务可以正</w:t>
      </w:r>
      <w:r>
        <w:rPr>
          <w:rFonts w:hint="eastAsia" w:ascii="宋体" w:hAnsi="宋体" w:cs="宋体"/>
          <w:sz w:val="24"/>
        </w:rPr>
        <w:t>常使用。</w:t>
      </w:r>
      <w:bookmarkStart w:id="4" w:name="OLE_LINK1"/>
      <w:r>
        <w:rPr>
          <w:rFonts w:hint="eastAsia" w:ascii="宋体" w:hAnsi="宋体" w:cs="宋体"/>
          <w:b/>
          <w:bCs/>
          <w:sz w:val="24"/>
          <w:lang w:eastAsia="zh-CN"/>
        </w:rPr>
        <w:t>（</w:t>
      </w:r>
      <w:r>
        <w:rPr>
          <w:rFonts w:hint="eastAsia" w:ascii="宋体" w:hAnsi="宋体" w:cs="宋体"/>
          <w:b/>
          <w:bCs/>
          <w:sz w:val="24"/>
          <w:lang w:val="en-US" w:eastAsia="zh-CN"/>
        </w:rPr>
        <w:t>提供承诺函</w:t>
      </w:r>
      <w:r>
        <w:rPr>
          <w:rFonts w:hint="eastAsia" w:ascii="宋体" w:hAnsi="宋体" w:cs="宋体"/>
          <w:b/>
          <w:bCs/>
          <w:sz w:val="24"/>
          <w:lang w:eastAsia="zh-CN"/>
        </w:rPr>
        <w:t>）</w:t>
      </w:r>
    </w:p>
    <w:p w14:paraId="7D1521F9">
      <w:pPr>
        <w:spacing w:line="360" w:lineRule="auto"/>
        <w:ind w:firstLine="480" w:firstLineChars="200"/>
        <w:rPr>
          <w:rFonts w:hint="eastAsia" w:ascii="宋体" w:hAnsi="宋体" w:cs="宋体"/>
          <w:sz w:val="24"/>
          <w:highlight w:val="none"/>
          <w:lang w:val="en-US" w:eastAsia="zh-CN"/>
        </w:rPr>
      </w:pPr>
      <w:r>
        <w:rPr>
          <w:rFonts w:hint="eastAsia" w:ascii="宋体" w:hAnsi="宋体" w:cs="宋体"/>
          <w:b w:val="0"/>
          <w:bCs w:val="0"/>
          <w:sz w:val="24"/>
          <w:lang w:val="en-US" w:eastAsia="zh-CN"/>
        </w:rPr>
        <w:t>5</w:t>
      </w:r>
      <w:r>
        <w:rPr>
          <w:rFonts w:hint="eastAsia" w:ascii="宋体" w:hAnsi="宋体" w:cs="宋体"/>
          <w:sz w:val="24"/>
          <w:highlight w:val="none"/>
          <w:lang w:val="en-US" w:eastAsia="zh-CN"/>
        </w:rPr>
        <w:t>.在项目实施过程中，项目服务人员应按规范要求开展工作，在项目实施过程中发生的一切意外事故，均由供应商承担相应责任。</w:t>
      </w:r>
    </w:p>
    <w:p w14:paraId="0EF904FA">
      <w:pPr>
        <w:pStyle w:val="2"/>
        <w:rPr>
          <w:rFonts w:hint="default"/>
          <w:lang w:val="en-US" w:eastAsia="zh-CN"/>
        </w:rPr>
      </w:pPr>
      <w:r>
        <w:rPr>
          <w:rFonts w:hint="eastAsia" w:ascii="宋体" w:hAnsi="宋体" w:cs="宋体"/>
          <w:sz w:val="24"/>
          <w:highlight w:val="none"/>
          <w:lang w:val="en-US" w:eastAsia="zh-CN"/>
        </w:rPr>
        <w:t xml:space="preserve">   </w:t>
      </w:r>
      <w:r>
        <w:rPr>
          <w:rFonts w:hint="eastAsia" w:ascii="宋体" w:hAnsi="宋体" w:eastAsia="宋体" w:cs="宋体"/>
          <w:kern w:val="2"/>
          <w:sz w:val="24"/>
          <w:szCs w:val="24"/>
          <w:highlight w:val="none"/>
          <w:lang w:val="en-US" w:eastAsia="zh-CN" w:bidi="ar-SA"/>
        </w:rPr>
        <w:t xml:space="preserve"> </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.其他未尽事项，合同约定。</w:t>
      </w:r>
    </w:p>
    <w:bookmarkEnd w:id="4"/>
    <w:p w14:paraId="44B17CB3">
      <w:pPr>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六</w:t>
      </w:r>
      <w:r>
        <w:rPr>
          <w:rFonts w:hint="eastAsia" w:ascii="宋体" w:hAnsi="宋体" w:eastAsia="宋体" w:cs="宋体"/>
          <w:b/>
          <w:bCs/>
          <w:sz w:val="24"/>
          <w:szCs w:val="24"/>
        </w:rPr>
        <w:t>、申请人参加本次比选活动，应当具备下列条件：</w:t>
      </w:r>
    </w:p>
    <w:p w14:paraId="7ADB2C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229C30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3998D7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257E58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4.具有依法缴纳税收和社会保障资金的良好记录；</w:t>
      </w:r>
    </w:p>
    <w:p w14:paraId="4D7B9D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5.参加本次比选活动前三年内，在经营活动中没有重大违法记录；未处于财产被接管、冻结、破产状态，未处于有关行政处罚期间，未处于投标禁入期内。</w:t>
      </w:r>
    </w:p>
    <w:p w14:paraId="18B2F7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082F06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6.1单位负责人为同一人或者存在直接控股、管理关系的不同比选申请人，不得参加同一合同项下的比选活动。</w:t>
      </w:r>
    </w:p>
    <w:p w14:paraId="1EE200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6.2供应商单位及其法定代表人、主要负责人不得具有行贿犯罪记录。</w:t>
      </w:r>
    </w:p>
    <w:p w14:paraId="2FBFF4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6.3拒绝列入失信被执行人、重大税收违法案件当事人名单、政府采购严重违法失信行为记录名单的比选申请人参加本次比选活动；</w:t>
      </w:r>
    </w:p>
    <w:p w14:paraId="1D78092D">
      <w:pPr>
        <w:spacing w:line="360" w:lineRule="auto"/>
        <w:ind w:firstLine="480" w:firstLineChars="200"/>
        <w:rPr>
          <w:rFonts w:hint="eastAsia" w:ascii="宋体" w:hAnsi="宋体" w:eastAsia="宋体" w:cs="宋体"/>
          <w:b/>
          <w:kern w:val="44"/>
          <w:sz w:val="24"/>
          <w:szCs w:val="24"/>
        </w:rPr>
      </w:pPr>
      <w:r>
        <w:rPr>
          <w:rFonts w:hint="eastAsia" w:ascii="宋体" w:hAnsi="宋体" w:eastAsia="宋体" w:cs="宋体"/>
          <w:sz w:val="24"/>
          <w:szCs w:val="24"/>
        </w:rPr>
        <w:t>7.本项目不接受联合体参加比选。</w:t>
      </w:r>
    </w:p>
    <w:p w14:paraId="3649BF6D">
      <w:pPr>
        <w:spacing w:line="520" w:lineRule="exact"/>
        <w:rPr>
          <w:rFonts w:hint="eastAsia" w:ascii="宋体" w:hAnsi="宋体" w:eastAsia="宋体" w:cs="宋体"/>
          <w:b/>
          <w:kern w:val="44"/>
          <w:sz w:val="24"/>
          <w:szCs w:val="24"/>
        </w:rPr>
      </w:pPr>
    </w:p>
    <w:p w14:paraId="6D1C8B96">
      <w:pPr>
        <w:spacing w:line="520" w:lineRule="exact"/>
        <w:rPr>
          <w:rFonts w:hint="eastAsia" w:ascii="宋体" w:hAnsi="宋体" w:eastAsia="宋体" w:cs="宋体"/>
          <w:b/>
          <w:kern w:val="44"/>
          <w:sz w:val="24"/>
          <w:szCs w:val="24"/>
        </w:rPr>
      </w:pPr>
    </w:p>
    <w:p w14:paraId="3E0B3A34">
      <w:pPr>
        <w:spacing w:line="520" w:lineRule="exact"/>
        <w:rPr>
          <w:rFonts w:hint="eastAsia" w:ascii="宋体" w:hAnsi="宋体" w:eastAsia="宋体" w:cs="宋体"/>
          <w:b/>
          <w:kern w:val="44"/>
          <w:sz w:val="24"/>
          <w:szCs w:val="24"/>
        </w:rPr>
      </w:pPr>
    </w:p>
    <w:p w14:paraId="029B0BDF">
      <w:pPr>
        <w:spacing w:line="520" w:lineRule="exact"/>
        <w:rPr>
          <w:rFonts w:hint="eastAsia" w:ascii="宋体" w:hAnsi="宋体" w:eastAsia="宋体" w:cs="宋体"/>
          <w:b/>
          <w:kern w:val="44"/>
          <w:sz w:val="24"/>
          <w:szCs w:val="24"/>
        </w:rPr>
      </w:pPr>
    </w:p>
    <w:p w14:paraId="005420E0">
      <w:pPr>
        <w:spacing w:line="520" w:lineRule="exact"/>
        <w:rPr>
          <w:rFonts w:hint="eastAsia" w:ascii="宋体" w:hAnsi="宋体" w:eastAsia="宋体" w:cs="宋体"/>
          <w:b/>
          <w:kern w:val="44"/>
          <w:sz w:val="24"/>
          <w:szCs w:val="24"/>
        </w:rPr>
      </w:pPr>
    </w:p>
    <w:p w14:paraId="276C79D9">
      <w:pPr>
        <w:spacing w:line="520" w:lineRule="exact"/>
        <w:rPr>
          <w:rFonts w:hint="eastAsia" w:ascii="宋体" w:hAnsi="宋体" w:eastAsia="宋体" w:cs="宋体"/>
          <w:b/>
          <w:kern w:val="44"/>
          <w:sz w:val="24"/>
          <w:szCs w:val="24"/>
        </w:rPr>
      </w:pPr>
      <w:r>
        <w:rPr>
          <w:rFonts w:hint="eastAsia" w:ascii="宋体" w:hAnsi="宋体" w:cs="宋体"/>
          <w:b/>
          <w:kern w:val="44"/>
          <w:sz w:val="24"/>
          <w:szCs w:val="24"/>
          <w:lang w:eastAsia="zh-CN"/>
        </w:rPr>
        <w:t>七</w:t>
      </w:r>
      <w:r>
        <w:rPr>
          <w:rFonts w:hint="eastAsia" w:ascii="宋体" w:hAnsi="宋体" w:eastAsia="宋体" w:cs="宋体"/>
          <w:b/>
          <w:kern w:val="44"/>
          <w:sz w:val="24"/>
          <w:szCs w:val="24"/>
        </w:rPr>
        <w:t>、 综合评分明细表</w:t>
      </w:r>
    </w:p>
    <w:tbl>
      <w:tblPr>
        <w:tblStyle w:val="6"/>
        <w:tblW w:w="8635" w:type="dxa"/>
        <w:jc w:val="center"/>
        <w:tblLayout w:type="fixed"/>
        <w:tblCellMar>
          <w:top w:w="0" w:type="dxa"/>
          <w:left w:w="108" w:type="dxa"/>
          <w:bottom w:w="0" w:type="dxa"/>
          <w:right w:w="108" w:type="dxa"/>
        </w:tblCellMar>
      </w:tblPr>
      <w:tblGrid>
        <w:gridCol w:w="710"/>
        <w:gridCol w:w="1263"/>
        <w:gridCol w:w="757"/>
        <w:gridCol w:w="5905"/>
      </w:tblGrid>
      <w:tr w14:paraId="10D41932">
        <w:tblPrEx>
          <w:tblCellMar>
            <w:top w:w="0" w:type="dxa"/>
            <w:left w:w="108" w:type="dxa"/>
            <w:bottom w:w="0" w:type="dxa"/>
            <w:right w:w="108" w:type="dxa"/>
          </w:tblCellMar>
        </w:tblPrEx>
        <w:trPr>
          <w:trHeight w:val="90" w:hRule="atLeast"/>
          <w:jc w:val="center"/>
        </w:trPr>
        <w:tc>
          <w:tcPr>
            <w:tcW w:w="710" w:type="dxa"/>
            <w:tcBorders>
              <w:top w:val="single" w:color="auto" w:sz="8" w:space="0"/>
              <w:left w:val="single" w:color="auto" w:sz="8" w:space="0"/>
              <w:bottom w:val="single" w:color="auto" w:sz="4" w:space="0"/>
              <w:right w:val="single" w:color="auto" w:sz="8" w:space="0"/>
            </w:tcBorders>
            <w:noWrap w:val="0"/>
            <w:vAlign w:val="center"/>
          </w:tcPr>
          <w:p w14:paraId="20AB6735">
            <w:pPr>
              <w:spacing w:line="360" w:lineRule="auto"/>
              <w:ind w:firstLine="28"/>
              <w:contextualSpacing/>
              <w:jc w:val="center"/>
              <w:rPr>
                <w:rFonts w:ascii="宋体" w:hAnsi="宋体"/>
                <w:spacing w:val="-20"/>
                <w:sz w:val="24"/>
              </w:rPr>
            </w:pPr>
            <w:r>
              <w:rPr>
                <w:rFonts w:hint="eastAsia" w:ascii="宋体" w:hAnsi="宋体"/>
                <w:spacing w:val="-20"/>
                <w:kern w:val="0"/>
                <w:sz w:val="24"/>
              </w:rPr>
              <w:t>序号</w:t>
            </w:r>
          </w:p>
        </w:tc>
        <w:tc>
          <w:tcPr>
            <w:tcW w:w="1263" w:type="dxa"/>
            <w:tcBorders>
              <w:top w:val="single" w:color="auto" w:sz="8" w:space="0"/>
              <w:left w:val="single" w:color="auto" w:sz="8" w:space="0"/>
              <w:bottom w:val="single" w:color="auto" w:sz="4" w:space="0"/>
              <w:right w:val="single" w:color="auto" w:sz="8" w:space="0"/>
            </w:tcBorders>
            <w:noWrap w:val="0"/>
            <w:vAlign w:val="center"/>
          </w:tcPr>
          <w:p w14:paraId="3A79EF50">
            <w:pPr>
              <w:spacing w:line="360" w:lineRule="auto"/>
              <w:ind w:firstLine="28"/>
              <w:contextualSpacing/>
              <w:jc w:val="center"/>
              <w:rPr>
                <w:rFonts w:ascii="宋体" w:hAnsi="宋体"/>
                <w:spacing w:val="-20"/>
                <w:sz w:val="24"/>
              </w:rPr>
            </w:pPr>
            <w:r>
              <w:rPr>
                <w:rFonts w:hint="eastAsia" w:ascii="宋体" w:hAnsi="宋体"/>
                <w:spacing w:val="-20"/>
                <w:kern w:val="0"/>
                <w:sz w:val="24"/>
              </w:rPr>
              <w:t>评分因素及权值</w:t>
            </w:r>
          </w:p>
        </w:tc>
        <w:tc>
          <w:tcPr>
            <w:tcW w:w="757" w:type="dxa"/>
            <w:tcBorders>
              <w:top w:val="single" w:color="auto" w:sz="4" w:space="0"/>
              <w:left w:val="single" w:color="auto" w:sz="8" w:space="0"/>
              <w:bottom w:val="single" w:color="auto" w:sz="4" w:space="0"/>
              <w:right w:val="single" w:color="auto" w:sz="8" w:space="0"/>
            </w:tcBorders>
            <w:noWrap w:val="0"/>
            <w:vAlign w:val="center"/>
          </w:tcPr>
          <w:p w14:paraId="0D7F2DEC">
            <w:pPr>
              <w:spacing w:line="360" w:lineRule="auto"/>
              <w:ind w:firstLine="28"/>
              <w:contextualSpacing/>
              <w:jc w:val="center"/>
              <w:rPr>
                <w:rFonts w:ascii="宋体" w:hAnsi="宋体"/>
                <w:spacing w:val="-20"/>
                <w:sz w:val="24"/>
              </w:rPr>
            </w:pPr>
            <w:r>
              <w:rPr>
                <w:rFonts w:hint="eastAsia" w:ascii="宋体" w:hAnsi="宋体"/>
                <w:spacing w:val="-20"/>
                <w:kern w:val="0"/>
                <w:sz w:val="24"/>
              </w:rPr>
              <w:t>分值</w:t>
            </w:r>
          </w:p>
        </w:tc>
        <w:tc>
          <w:tcPr>
            <w:tcW w:w="5905" w:type="dxa"/>
            <w:tcBorders>
              <w:top w:val="single" w:color="auto" w:sz="4" w:space="0"/>
              <w:left w:val="nil"/>
              <w:bottom w:val="single" w:color="auto" w:sz="4" w:space="0"/>
              <w:right w:val="single" w:color="auto" w:sz="8" w:space="0"/>
            </w:tcBorders>
            <w:noWrap w:val="0"/>
            <w:vAlign w:val="center"/>
          </w:tcPr>
          <w:p w14:paraId="1E6B5553">
            <w:pPr>
              <w:spacing w:line="360" w:lineRule="auto"/>
              <w:ind w:firstLine="28"/>
              <w:contextualSpacing/>
              <w:jc w:val="center"/>
              <w:rPr>
                <w:rFonts w:ascii="宋体" w:hAnsi="宋体"/>
                <w:spacing w:val="-20"/>
                <w:sz w:val="24"/>
              </w:rPr>
            </w:pPr>
            <w:r>
              <w:rPr>
                <w:rFonts w:hint="eastAsia" w:ascii="宋体" w:hAnsi="宋体"/>
                <w:spacing w:val="-20"/>
                <w:kern w:val="0"/>
                <w:sz w:val="24"/>
              </w:rPr>
              <w:t>评分标准</w:t>
            </w:r>
          </w:p>
        </w:tc>
      </w:tr>
      <w:tr w14:paraId="483D3914">
        <w:tblPrEx>
          <w:tblCellMar>
            <w:top w:w="0" w:type="dxa"/>
            <w:left w:w="108" w:type="dxa"/>
            <w:bottom w:w="0" w:type="dxa"/>
            <w:right w:w="108" w:type="dxa"/>
          </w:tblCellMar>
        </w:tblPrEx>
        <w:trPr>
          <w:trHeight w:val="1689" w:hRule="atLeast"/>
          <w:jc w:val="center"/>
        </w:trPr>
        <w:tc>
          <w:tcPr>
            <w:tcW w:w="710" w:type="dxa"/>
            <w:tcBorders>
              <w:top w:val="single" w:color="auto" w:sz="4" w:space="0"/>
              <w:left w:val="single" w:color="auto" w:sz="8" w:space="0"/>
              <w:bottom w:val="single" w:color="auto" w:sz="4" w:space="0"/>
              <w:right w:val="single" w:color="auto" w:sz="8" w:space="0"/>
            </w:tcBorders>
            <w:noWrap w:val="0"/>
            <w:vAlign w:val="center"/>
          </w:tcPr>
          <w:p w14:paraId="3396387C">
            <w:pPr>
              <w:widowControl/>
              <w:spacing w:line="360" w:lineRule="auto"/>
              <w:contextualSpacing/>
              <w:jc w:val="center"/>
              <w:rPr>
                <w:rFonts w:ascii="宋体" w:hAnsi="宋体" w:cs="宋体"/>
                <w:sz w:val="24"/>
              </w:rPr>
            </w:pPr>
            <w:r>
              <w:rPr>
                <w:rFonts w:hint="eastAsia" w:ascii="宋体" w:hAnsi="宋体" w:cs="宋体"/>
                <w:kern w:val="0"/>
                <w:sz w:val="24"/>
              </w:rPr>
              <w:t>1</w:t>
            </w:r>
          </w:p>
        </w:tc>
        <w:tc>
          <w:tcPr>
            <w:tcW w:w="1263" w:type="dxa"/>
            <w:tcBorders>
              <w:top w:val="single" w:color="auto" w:sz="4" w:space="0"/>
              <w:left w:val="single" w:color="auto" w:sz="8" w:space="0"/>
              <w:bottom w:val="single" w:color="auto" w:sz="4" w:space="0"/>
              <w:right w:val="single" w:color="auto" w:sz="8" w:space="0"/>
            </w:tcBorders>
            <w:noWrap w:val="0"/>
            <w:vAlign w:val="center"/>
          </w:tcPr>
          <w:p w14:paraId="624C4AB6">
            <w:pPr>
              <w:widowControl/>
              <w:spacing w:line="360" w:lineRule="auto"/>
              <w:contextualSpacing/>
              <w:jc w:val="center"/>
              <w:rPr>
                <w:rFonts w:ascii="宋体" w:hAnsi="宋体" w:cs="宋体"/>
                <w:sz w:val="24"/>
              </w:rPr>
            </w:pPr>
            <w:r>
              <w:rPr>
                <w:rFonts w:hint="eastAsia" w:ascii="宋体" w:hAnsi="宋体" w:cs="宋体"/>
                <w:sz w:val="24"/>
              </w:rPr>
              <w:t>报价</w:t>
            </w:r>
            <w:r>
              <w:rPr>
                <w:rFonts w:hint="eastAsia" w:ascii="宋体" w:hAnsi="宋体" w:cs="宋体"/>
                <w:sz w:val="24"/>
                <w:lang w:val="en-US" w:eastAsia="zh-CN"/>
              </w:rPr>
              <w:t>2</w:t>
            </w:r>
            <w:r>
              <w:rPr>
                <w:rFonts w:hint="eastAsia" w:ascii="宋体" w:hAnsi="宋体" w:cs="宋体"/>
                <w:sz w:val="24"/>
              </w:rPr>
              <w:t>0</w:t>
            </w:r>
            <w:r>
              <w:rPr>
                <w:rFonts w:ascii="宋体" w:hAnsi="宋体" w:cs="宋体"/>
                <w:sz w:val="24"/>
              </w:rPr>
              <w:t>%</w:t>
            </w:r>
          </w:p>
        </w:tc>
        <w:tc>
          <w:tcPr>
            <w:tcW w:w="757" w:type="dxa"/>
            <w:tcBorders>
              <w:top w:val="single" w:color="auto" w:sz="4" w:space="0"/>
              <w:left w:val="single" w:color="auto" w:sz="8" w:space="0"/>
              <w:bottom w:val="single" w:color="auto" w:sz="4" w:space="0"/>
              <w:right w:val="single" w:color="auto" w:sz="8" w:space="0"/>
            </w:tcBorders>
            <w:noWrap w:val="0"/>
            <w:vAlign w:val="center"/>
          </w:tcPr>
          <w:p w14:paraId="5E4D9B62">
            <w:pPr>
              <w:widowControl/>
              <w:spacing w:line="360" w:lineRule="auto"/>
              <w:contextualSpacing/>
              <w:jc w:val="center"/>
              <w:rPr>
                <w:rFonts w:ascii="宋体" w:hAnsi="宋体" w:cs="宋体"/>
                <w:sz w:val="24"/>
              </w:rPr>
            </w:pPr>
            <w:r>
              <w:rPr>
                <w:rFonts w:hint="eastAsia" w:ascii="宋体" w:hAnsi="宋体" w:cs="宋体"/>
                <w:kern w:val="0"/>
                <w:sz w:val="24"/>
                <w:lang w:val="en-US" w:eastAsia="zh-CN"/>
              </w:rPr>
              <w:t>2</w:t>
            </w:r>
            <w:r>
              <w:rPr>
                <w:rFonts w:hint="eastAsia" w:ascii="宋体" w:hAnsi="宋体" w:cs="宋体"/>
                <w:kern w:val="0"/>
                <w:sz w:val="24"/>
              </w:rPr>
              <w:t>0分</w:t>
            </w:r>
          </w:p>
        </w:tc>
        <w:tc>
          <w:tcPr>
            <w:tcW w:w="5905" w:type="dxa"/>
            <w:tcBorders>
              <w:top w:val="single" w:color="auto" w:sz="4" w:space="0"/>
              <w:left w:val="nil"/>
              <w:bottom w:val="single" w:color="auto" w:sz="4" w:space="0"/>
              <w:right w:val="single" w:color="auto" w:sz="8" w:space="0"/>
            </w:tcBorders>
            <w:noWrap w:val="0"/>
            <w:vAlign w:val="center"/>
          </w:tcPr>
          <w:p w14:paraId="30B79E94">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满足招标文件要求且投标</w:t>
            </w:r>
            <w:r>
              <w:rPr>
                <w:rFonts w:hint="eastAsia" w:ascii="宋体" w:hAnsi="宋体" w:eastAsia="宋体" w:cs="宋体"/>
                <w:color w:val="auto"/>
                <w:sz w:val="24"/>
                <w:szCs w:val="24"/>
              </w:rPr>
              <w:t>价格最低</w:t>
            </w:r>
            <w:r>
              <w:rPr>
                <w:rFonts w:hint="eastAsia" w:ascii="宋体" w:hAnsi="宋体" w:eastAsia="宋体" w:cs="宋体"/>
                <w:sz w:val="24"/>
                <w:szCs w:val="24"/>
              </w:rPr>
              <w:t>的报价为基准价，其价格分为满分。其他供应商的价格分统一按照下列公式计算：报价得分=(基准价／</w:t>
            </w:r>
            <w:r>
              <w:rPr>
                <w:rFonts w:hint="eastAsia" w:ascii="宋体" w:hAnsi="宋体" w:cs="宋体"/>
                <w:sz w:val="24"/>
                <w:szCs w:val="24"/>
                <w:lang w:val="en-US" w:eastAsia="zh-CN"/>
              </w:rPr>
              <w:t>投标</w:t>
            </w:r>
            <w:r>
              <w:rPr>
                <w:rFonts w:hint="eastAsia" w:ascii="宋体" w:hAnsi="宋体" w:eastAsia="宋体" w:cs="宋体"/>
                <w:sz w:val="24"/>
                <w:szCs w:val="24"/>
              </w:rPr>
              <w:t>报价)*</w:t>
            </w:r>
            <w:r>
              <w:rPr>
                <w:rFonts w:hint="eastAsia" w:ascii="宋体" w:hAnsi="宋体" w:cs="宋体"/>
                <w:sz w:val="24"/>
                <w:szCs w:val="24"/>
                <w:lang w:val="en-US" w:eastAsia="zh-CN"/>
              </w:rPr>
              <w:t>2</w:t>
            </w:r>
            <w:r>
              <w:rPr>
                <w:rFonts w:hint="eastAsia" w:ascii="宋体" w:hAnsi="宋体" w:eastAsia="宋体" w:cs="宋体"/>
                <w:sz w:val="24"/>
                <w:szCs w:val="24"/>
              </w:rPr>
              <w:t>0%*100</w:t>
            </w:r>
          </w:p>
          <w:p w14:paraId="3FC645BC">
            <w:pPr>
              <w:pStyle w:val="2"/>
              <w:ind w:firstLine="480" w:firstLineChars="200"/>
              <w:rPr>
                <w:rFonts w:ascii="宋体" w:hAnsi="宋体" w:cs="宋体"/>
                <w:sz w:val="24"/>
              </w:rPr>
            </w:pPr>
            <w:r>
              <w:rPr>
                <w:rFonts w:hint="eastAsia" w:ascii="宋体" w:hAnsi="宋体" w:eastAsia="宋体" w:cs="宋体"/>
                <w:color w:val="000000"/>
                <w:sz w:val="24"/>
                <w:szCs w:val="24"/>
              </w:rPr>
              <w:t>注：报价为单价报价</w:t>
            </w:r>
            <w:r>
              <w:rPr>
                <w:rFonts w:hint="eastAsia" w:ascii="宋体" w:hAnsi="宋体" w:eastAsia="宋体" w:cs="宋体"/>
                <w:color w:val="000000"/>
                <w:sz w:val="24"/>
                <w:szCs w:val="24"/>
                <w:lang w:eastAsia="zh-CN"/>
              </w:rPr>
              <w:t>。</w:t>
            </w:r>
          </w:p>
        </w:tc>
      </w:tr>
      <w:tr w14:paraId="4D7EEBD5">
        <w:tblPrEx>
          <w:tblCellMar>
            <w:top w:w="0" w:type="dxa"/>
            <w:left w:w="108" w:type="dxa"/>
            <w:bottom w:w="0" w:type="dxa"/>
            <w:right w:w="108" w:type="dxa"/>
          </w:tblCellMar>
        </w:tblPrEx>
        <w:trPr>
          <w:jc w:val="center"/>
        </w:trPr>
        <w:tc>
          <w:tcPr>
            <w:tcW w:w="710" w:type="dxa"/>
            <w:tcBorders>
              <w:top w:val="single" w:color="auto" w:sz="4" w:space="0"/>
              <w:left w:val="single" w:color="auto" w:sz="8" w:space="0"/>
              <w:bottom w:val="single" w:color="auto" w:sz="4" w:space="0"/>
              <w:right w:val="single" w:color="auto" w:sz="8" w:space="0"/>
            </w:tcBorders>
            <w:noWrap w:val="0"/>
            <w:vAlign w:val="center"/>
          </w:tcPr>
          <w:p w14:paraId="19730FE9">
            <w:pPr>
              <w:widowControl/>
              <w:spacing w:line="360" w:lineRule="auto"/>
              <w:contextualSpacing/>
              <w:jc w:val="center"/>
              <w:rPr>
                <w:rFonts w:ascii="宋体" w:hAnsi="宋体" w:cs="宋体"/>
                <w:kern w:val="0"/>
                <w:sz w:val="24"/>
              </w:rPr>
            </w:pPr>
            <w:r>
              <w:rPr>
                <w:rFonts w:hint="eastAsia" w:ascii="宋体" w:hAnsi="宋体" w:cs="宋体"/>
                <w:kern w:val="0"/>
                <w:sz w:val="24"/>
              </w:rPr>
              <w:t>2</w:t>
            </w:r>
          </w:p>
        </w:tc>
        <w:tc>
          <w:tcPr>
            <w:tcW w:w="1263" w:type="dxa"/>
            <w:tcBorders>
              <w:top w:val="single" w:color="auto" w:sz="4" w:space="0"/>
              <w:left w:val="single" w:color="auto" w:sz="8" w:space="0"/>
              <w:bottom w:val="single" w:color="auto" w:sz="4" w:space="0"/>
              <w:right w:val="single" w:color="auto" w:sz="8" w:space="0"/>
            </w:tcBorders>
            <w:noWrap w:val="0"/>
            <w:vAlign w:val="center"/>
          </w:tcPr>
          <w:p w14:paraId="2B0864E8">
            <w:pPr>
              <w:spacing w:line="360" w:lineRule="auto"/>
              <w:contextualSpacing/>
              <w:jc w:val="center"/>
              <w:rPr>
                <w:rFonts w:ascii="宋体" w:hAnsi="宋体" w:cs="宋体"/>
                <w:sz w:val="24"/>
              </w:rPr>
            </w:pPr>
            <w:r>
              <w:rPr>
                <w:rFonts w:hint="eastAsia" w:ascii="宋体" w:hAnsi="宋体" w:cs="宋体"/>
                <w:sz w:val="24"/>
              </w:rPr>
              <w:t>技术</w:t>
            </w:r>
            <w:r>
              <w:rPr>
                <w:rFonts w:hint="eastAsia" w:ascii="宋体" w:hAnsi="宋体" w:cs="宋体"/>
                <w:sz w:val="24"/>
                <w:lang w:val="en-US" w:eastAsia="zh-CN"/>
              </w:rPr>
              <w:t>及</w:t>
            </w:r>
            <w:r>
              <w:rPr>
                <w:rFonts w:hint="eastAsia" w:ascii="宋体" w:hAnsi="宋体" w:cs="宋体"/>
                <w:sz w:val="24"/>
              </w:rPr>
              <w:t>服务响应</w:t>
            </w:r>
            <w:r>
              <w:rPr>
                <w:rFonts w:hint="eastAsia" w:ascii="宋体" w:hAnsi="宋体" w:cs="宋体"/>
                <w:sz w:val="24"/>
                <w:lang w:val="en-US" w:eastAsia="zh-CN"/>
              </w:rPr>
              <w:t>30</w:t>
            </w:r>
            <w:r>
              <w:rPr>
                <w:rFonts w:hint="eastAsia" w:ascii="宋体" w:hAnsi="宋体" w:cs="宋体"/>
                <w:sz w:val="24"/>
              </w:rPr>
              <w:t>%</w:t>
            </w:r>
          </w:p>
        </w:tc>
        <w:tc>
          <w:tcPr>
            <w:tcW w:w="757" w:type="dxa"/>
            <w:tcBorders>
              <w:top w:val="single" w:color="auto" w:sz="4" w:space="0"/>
              <w:left w:val="single" w:color="auto" w:sz="8" w:space="0"/>
              <w:bottom w:val="single" w:color="auto" w:sz="4" w:space="0"/>
              <w:right w:val="single" w:color="auto" w:sz="8" w:space="0"/>
            </w:tcBorders>
            <w:noWrap w:val="0"/>
            <w:vAlign w:val="center"/>
          </w:tcPr>
          <w:p w14:paraId="09D72015">
            <w:pPr>
              <w:spacing w:line="360" w:lineRule="auto"/>
              <w:contextualSpacing/>
              <w:jc w:val="center"/>
              <w:rPr>
                <w:rFonts w:ascii="宋体" w:hAnsi="宋体" w:cs="宋体"/>
                <w:sz w:val="24"/>
              </w:rPr>
            </w:pPr>
            <w:r>
              <w:rPr>
                <w:rFonts w:hint="eastAsia" w:ascii="宋体" w:hAnsi="宋体" w:cs="宋体"/>
                <w:sz w:val="24"/>
                <w:lang w:val="en-US" w:eastAsia="zh-CN"/>
              </w:rPr>
              <w:t>30</w:t>
            </w:r>
            <w:r>
              <w:rPr>
                <w:rFonts w:hint="eastAsia" w:ascii="宋体" w:hAnsi="宋体" w:cs="宋体"/>
                <w:sz w:val="24"/>
              </w:rPr>
              <w:t>分</w:t>
            </w:r>
          </w:p>
        </w:tc>
        <w:tc>
          <w:tcPr>
            <w:tcW w:w="5905" w:type="dxa"/>
            <w:tcBorders>
              <w:top w:val="single" w:color="auto" w:sz="4" w:space="0"/>
              <w:left w:val="nil"/>
              <w:bottom w:val="single" w:color="auto" w:sz="4" w:space="0"/>
              <w:right w:val="single" w:color="auto" w:sz="8" w:space="0"/>
            </w:tcBorders>
            <w:noWrap w:val="0"/>
            <w:vAlign w:val="center"/>
          </w:tcPr>
          <w:p w14:paraId="3E9F48E1">
            <w:pPr>
              <w:spacing w:line="360" w:lineRule="auto"/>
              <w:ind w:firstLine="480" w:firstLineChars="200"/>
              <w:rPr>
                <w:rFonts w:ascii="宋体" w:hAnsi="宋体" w:cs="宋体"/>
                <w:sz w:val="24"/>
              </w:rPr>
            </w:pPr>
            <w:r>
              <w:rPr>
                <w:rFonts w:hint="eastAsia" w:ascii="宋体" w:hAnsi="宋体" w:cs="宋体"/>
                <w:sz w:val="24"/>
                <w:lang w:val="en-US" w:eastAsia="zh-CN"/>
              </w:rPr>
              <w:t>比选</w:t>
            </w:r>
            <w:r>
              <w:rPr>
                <w:rFonts w:hint="eastAsia" w:ascii="宋体" w:hAnsi="宋体" w:cs="宋体"/>
                <w:sz w:val="24"/>
              </w:rPr>
              <w:t>文件中的技术</w:t>
            </w:r>
            <w:r>
              <w:rPr>
                <w:rFonts w:hint="eastAsia" w:ascii="宋体" w:hAnsi="宋体" w:cs="宋体"/>
                <w:sz w:val="24"/>
                <w:lang w:val="en-US" w:eastAsia="zh-CN"/>
              </w:rPr>
              <w:t>及</w:t>
            </w:r>
            <w:r>
              <w:rPr>
                <w:rFonts w:hint="eastAsia" w:ascii="宋体" w:hAnsi="宋体" w:cs="宋体"/>
                <w:sz w:val="24"/>
              </w:rPr>
              <w:t>服务要求</w:t>
            </w:r>
            <w:r>
              <w:rPr>
                <w:rFonts w:hint="eastAsia" w:ascii="宋体" w:hAnsi="宋体" w:cs="宋体"/>
                <w:sz w:val="24"/>
                <w:lang w:eastAsia="zh-CN"/>
              </w:rPr>
              <w:t>，</w:t>
            </w:r>
            <w:r>
              <w:rPr>
                <w:rFonts w:hint="eastAsia" w:ascii="宋体" w:hAnsi="宋体" w:cs="宋体"/>
                <w:sz w:val="24"/>
                <w:lang w:val="en-US" w:eastAsia="zh-CN"/>
              </w:rPr>
              <w:t>完全满足得30分，</w:t>
            </w:r>
            <w:r>
              <w:rPr>
                <w:rFonts w:hint="eastAsia" w:ascii="宋体" w:hAnsi="宋体" w:cs="宋体"/>
                <w:sz w:val="24"/>
              </w:rPr>
              <w:t>每有一项不满足，扣</w:t>
            </w:r>
            <w:r>
              <w:rPr>
                <w:rFonts w:hint="eastAsia" w:ascii="宋体" w:hAnsi="宋体" w:cs="宋体"/>
                <w:sz w:val="24"/>
                <w:lang w:val="en-US" w:eastAsia="zh-CN"/>
              </w:rPr>
              <w:t>5</w:t>
            </w:r>
            <w:r>
              <w:rPr>
                <w:rFonts w:hint="eastAsia" w:ascii="宋体" w:hAnsi="宋体" w:cs="宋体"/>
                <w:sz w:val="24"/>
              </w:rPr>
              <w:t>分。扣完为止。</w:t>
            </w:r>
          </w:p>
        </w:tc>
      </w:tr>
      <w:tr w14:paraId="6C7F5C7B">
        <w:tblPrEx>
          <w:tblCellMar>
            <w:top w:w="0" w:type="dxa"/>
            <w:left w:w="108" w:type="dxa"/>
            <w:bottom w:w="0" w:type="dxa"/>
            <w:right w:w="108" w:type="dxa"/>
          </w:tblCellMar>
        </w:tblPrEx>
        <w:trPr>
          <w:jc w:val="center"/>
        </w:trPr>
        <w:tc>
          <w:tcPr>
            <w:tcW w:w="710" w:type="dxa"/>
            <w:tcBorders>
              <w:top w:val="single" w:color="auto" w:sz="4" w:space="0"/>
              <w:left w:val="single" w:color="auto" w:sz="8" w:space="0"/>
              <w:bottom w:val="single" w:color="auto" w:sz="4" w:space="0"/>
              <w:right w:val="single" w:color="auto" w:sz="8" w:space="0"/>
            </w:tcBorders>
            <w:noWrap w:val="0"/>
            <w:vAlign w:val="center"/>
          </w:tcPr>
          <w:p w14:paraId="203FFE5E">
            <w:pPr>
              <w:widowControl/>
              <w:spacing w:line="360" w:lineRule="auto"/>
              <w:contextualSpacing/>
              <w:jc w:val="center"/>
              <w:rPr>
                <w:rFonts w:hint="eastAsia" w:ascii="宋体" w:hAnsi="宋体" w:cs="宋体"/>
                <w:kern w:val="0"/>
                <w:sz w:val="24"/>
              </w:rPr>
            </w:pPr>
            <w:r>
              <w:rPr>
                <w:rFonts w:hint="eastAsia" w:ascii="宋体" w:hAnsi="宋体" w:cs="宋体"/>
                <w:kern w:val="0"/>
                <w:sz w:val="24"/>
              </w:rPr>
              <w:t>3</w:t>
            </w:r>
          </w:p>
        </w:tc>
        <w:tc>
          <w:tcPr>
            <w:tcW w:w="1263" w:type="dxa"/>
            <w:tcBorders>
              <w:top w:val="single" w:color="auto" w:sz="4" w:space="0"/>
              <w:left w:val="single" w:color="auto" w:sz="8" w:space="0"/>
              <w:bottom w:val="single" w:color="auto" w:sz="4" w:space="0"/>
              <w:right w:val="single" w:color="auto" w:sz="8" w:space="0"/>
            </w:tcBorders>
            <w:noWrap w:val="0"/>
            <w:vAlign w:val="center"/>
          </w:tcPr>
          <w:p w14:paraId="450B960F">
            <w:pPr>
              <w:wordWrap w:val="0"/>
              <w:spacing w:line="360" w:lineRule="auto"/>
              <w:jc w:val="center"/>
              <w:rPr>
                <w:rFonts w:ascii="宋体" w:hAnsi="宋体"/>
                <w:bCs/>
                <w:sz w:val="24"/>
              </w:rPr>
            </w:pPr>
            <w:r>
              <w:rPr>
                <w:rFonts w:hint="eastAsia" w:ascii="宋体" w:hAnsi="宋体"/>
                <w:bCs/>
                <w:sz w:val="24"/>
              </w:rPr>
              <w:t>实施方案21%</w:t>
            </w:r>
          </w:p>
        </w:tc>
        <w:tc>
          <w:tcPr>
            <w:tcW w:w="757" w:type="dxa"/>
            <w:tcBorders>
              <w:top w:val="single" w:color="auto" w:sz="4" w:space="0"/>
              <w:left w:val="single" w:color="auto" w:sz="8" w:space="0"/>
              <w:bottom w:val="single" w:color="auto" w:sz="4" w:space="0"/>
              <w:right w:val="single" w:color="auto" w:sz="8" w:space="0"/>
            </w:tcBorders>
            <w:noWrap w:val="0"/>
            <w:vAlign w:val="center"/>
          </w:tcPr>
          <w:p w14:paraId="36FB8C67">
            <w:pPr>
              <w:wordWrap w:val="0"/>
              <w:spacing w:line="360" w:lineRule="auto"/>
              <w:jc w:val="center"/>
              <w:rPr>
                <w:rFonts w:ascii="宋体" w:hAnsi="宋体"/>
                <w:bCs/>
                <w:sz w:val="24"/>
              </w:rPr>
            </w:pPr>
            <w:r>
              <w:rPr>
                <w:rFonts w:hint="eastAsia" w:ascii="宋体" w:hAnsi="宋体"/>
                <w:bCs/>
                <w:sz w:val="24"/>
              </w:rPr>
              <w:t>21分</w:t>
            </w:r>
          </w:p>
        </w:tc>
        <w:tc>
          <w:tcPr>
            <w:tcW w:w="5905" w:type="dxa"/>
            <w:tcBorders>
              <w:top w:val="single" w:color="auto" w:sz="4" w:space="0"/>
              <w:left w:val="nil"/>
              <w:bottom w:val="single" w:color="auto" w:sz="4" w:space="0"/>
              <w:right w:val="single" w:color="auto" w:sz="8" w:space="0"/>
            </w:tcBorders>
            <w:noWrap w:val="0"/>
            <w:vAlign w:val="center"/>
          </w:tcPr>
          <w:p w14:paraId="7917D6DD">
            <w:pPr>
              <w:spacing w:after="0"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根据投标人提供的实施方案进行评审，方案内容需包含：</w:t>
            </w:r>
            <w:r>
              <w:rPr>
                <w:rFonts w:hint="eastAsia" w:ascii="宋体" w:hAnsi="宋体" w:cs="宋体"/>
                <w:sz w:val="24"/>
              </w:rPr>
              <w:t>1.人员配置方案</w:t>
            </w:r>
            <w:r>
              <w:rPr>
                <w:rFonts w:hint="eastAsia" w:ascii="宋体" w:hAnsi="宋体" w:cs="宋体"/>
                <w:sz w:val="24"/>
                <w:lang w:eastAsia="zh-CN"/>
              </w:rPr>
              <w:t>；</w:t>
            </w:r>
            <w:r>
              <w:rPr>
                <w:rFonts w:hint="eastAsia" w:ascii="宋体" w:hAnsi="宋体" w:cs="宋体"/>
                <w:sz w:val="24"/>
              </w:rPr>
              <w:t>2.产品供货措施</w:t>
            </w:r>
            <w:r>
              <w:rPr>
                <w:rFonts w:hint="eastAsia" w:ascii="宋体" w:hAnsi="宋体" w:cs="宋体"/>
                <w:sz w:val="24"/>
                <w:lang w:eastAsia="zh-CN"/>
              </w:rPr>
              <w:t>；</w:t>
            </w:r>
            <w:r>
              <w:rPr>
                <w:rFonts w:hint="eastAsia" w:ascii="宋体" w:hAnsi="宋体" w:cs="宋体"/>
                <w:sz w:val="24"/>
              </w:rPr>
              <w:t>3.技术保证措施方案</w:t>
            </w:r>
            <w:r>
              <w:rPr>
                <w:rFonts w:hint="eastAsia" w:ascii="宋体" w:hAnsi="宋体" w:cs="宋体"/>
                <w:sz w:val="24"/>
                <w:lang w:eastAsia="zh-CN"/>
              </w:rPr>
              <w:t>；</w:t>
            </w:r>
            <w:r>
              <w:rPr>
                <w:rFonts w:hint="eastAsia" w:ascii="宋体" w:hAnsi="宋体" w:cs="宋体"/>
                <w:sz w:val="24"/>
              </w:rPr>
              <w:t>4.质量保证体系方案</w:t>
            </w:r>
            <w:r>
              <w:rPr>
                <w:rFonts w:hint="eastAsia" w:ascii="宋体" w:hAnsi="宋体" w:cs="宋体"/>
                <w:sz w:val="24"/>
                <w:lang w:eastAsia="zh-CN"/>
              </w:rPr>
              <w:t>；</w:t>
            </w:r>
            <w:r>
              <w:rPr>
                <w:rFonts w:hint="eastAsia" w:ascii="宋体" w:hAnsi="宋体" w:cs="宋体"/>
                <w:sz w:val="24"/>
              </w:rPr>
              <w:t>5.风险控制措施</w:t>
            </w:r>
            <w:r>
              <w:rPr>
                <w:rFonts w:hint="eastAsia" w:ascii="宋体" w:hAnsi="宋体" w:cs="宋体"/>
                <w:sz w:val="24"/>
                <w:lang w:eastAsia="zh-CN"/>
              </w:rPr>
              <w:t>；</w:t>
            </w:r>
            <w:r>
              <w:rPr>
                <w:rFonts w:hint="eastAsia" w:ascii="宋体" w:hAnsi="宋体" w:cs="宋体"/>
                <w:sz w:val="24"/>
              </w:rPr>
              <w:t>6.技术重点确定合理性</w:t>
            </w:r>
            <w:r>
              <w:rPr>
                <w:rFonts w:hint="eastAsia" w:ascii="宋体" w:hAnsi="宋体" w:cs="宋体"/>
                <w:sz w:val="24"/>
                <w:lang w:eastAsia="zh-CN"/>
              </w:rPr>
              <w:t>；</w:t>
            </w:r>
            <w:r>
              <w:rPr>
                <w:rFonts w:hint="eastAsia" w:ascii="宋体" w:hAnsi="宋体" w:cs="宋体"/>
                <w:sz w:val="24"/>
              </w:rPr>
              <w:t>7.实施时间进度安排方案进行评审</w:t>
            </w:r>
            <w:r>
              <w:rPr>
                <w:rFonts w:hint="eastAsia" w:ascii="宋体" w:hAnsi="宋体" w:cs="宋体"/>
                <w:sz w:val="24"/>
                <w:lang w:eastAsia="zh-CN"/>
              </w:rPr>
              <w:t>。</w:t>
            </w:r>
            <w:r>
              <w:rPr>
                <w:rFonts w:hint="eastAsia" w:ascii="宋体" w:hAnsi="宋体" w:cs="宋体"/>
                <w:sz w:val="24"/>
                <w:lang w:val="en-US" w:eastAsia="zh-CN"/>
              </w:rPr>
              <w:t>每具有一项得3分，最多得21分。在此基础上，方案中存在缺陷的，每有一处扣1.5分，扣完为止。</w:t>
            </w:r>
          </w:p>
          <w:p w14:paraId="397F1CDA">
            <w:pPr>
              <w:spacing w:after="0" w:line="480" w:lineRule="exact"/>
              <w:ind w:firstLine="480" w:firstLineChars="200"/>
              <w:rPr>
                <w:rFonts w:ascii="宋体" w:hAnsi="宋体" w:cs="宋体"/>
                <w:sz w:val="24"/>
              </w:rPr>
            </w:pPr>
            <w:r>
              <w:rPr>
                <w:rFonts w:hint="eastAsia" w:ascii="宋体" w:hAnsi="宋体" w:cs="宋体"/>
                <w:sz w:val="24"/>
                <w:lang w:val="en-US" w:eastAsia="zh-CN"/>
              </w:rPr>
              <w:t>注：缺陷是指存在项目名称错误、地点区域错误、内容与本项目需求无关、方案内容矛盾、仅有框架或标题、适用的标准（方法）错误、明显复制其他项目内容等任意一种情形。</w:t>
            </w:r>
          </w:p>
        </w:tc>
      </w:tr>
      <w:tr w14:paraId="48819CF4">
        <w:tblPrEx>
          <w:tblCellMar>
            <w:top w:w="0" w:type="dxa"/>
            <w:left w:w="108" w:type="dxa"/>
            <w:bottom w:w="0" w:type="dxa"/>
            <w:right w:w="108" w:type="dxa"/>
          </w:tblCellMar>
        </w:tblPrEx>
        <w:trPr>
          <w:jc w:val="center"/>
        </w:trPr>
        <w:tc>
          <w:tcPr>
            <w:tcW w:w="710" w:type="dxa"/>
            <w:tcBorders>
              <w:top w:val="single" w:color="auto" w:sz="4" w:space="0"/>
              <w:left w:val="single" w:color="auto" w:sz="8" w:space="0"/>
              <w:bottom w:val="single" w:color="auto" w:sz="4" w:space="0"/>
              <w:right w:val="single" w:color="auto" w:sz="8" w:space="0"/>
            </w:tcBorders>
            <w:noWrap w:val="0"/>
            <w:vAlign w:val="center"/>
          </w:tcPr>
          <w:p w14:paraId="4DA0DCDC">
            <w:pPr>
              <w:widowControl/>
              <w:spacing w:line="360" w:lineRule="auto"/>
              <w:contextualSpacing/>
              <w:jc w:val="center"/>
              <w:rPr>
                <w:rFonts w:ascii="宋体" w:hAnsi="宋体" w:cs="宋体"/>
                <w:kern w:val="0"/>
                <w:sz w:val="24"/>
              </w:rPr>
            </w:pPr>
            <w:r>
              <w:rPr>
                <w:rFonts w:hint="eastAsia" w:ascii="宋体" w:hAnsi="宋体" w:cs="宋体"/>
                <w:kern w:val="0"/>
                <w:sz w:val="24"/>
              </w:rPr>
              <w:t>4</w:t>
            </w:r>
          </w:p>
        </w:tc>
        <w:tc>
          <w:tcPr>
            <w:tcW w:w="1263" w:type="dxa"/>
            <w:tcBorders>
              <w:top w:val="single" w:color="auto" w:sz="4" w:space="0"/>
              <w:left w:val="single" w:color="auto" w:sz="8" w:space="0"/>
              <w:bottom w:val="single" w:color="auto" w:sz="4" w:space="0"/>
              <w:right w:val="single" w:color="auto" w:sz="8" w:space="0"/>
            </w:tcBorders>
            <w:noWrap w:val="0"/>
            <w:vAlign w:val="center"/>
          </w:tcPr>
          <w:p w14:paraId="7FECD9EC">
            <w:pPr>
              <w:spacing w:line="360" w:lineRule="auto"/>
              <w:contextualSpacing/>
              <w:jc w:val="center"/>
              <w:rPr>
                <w:rFonts w:ascii="宋体" w:hAnsi="宋体" w:cs="宋体"/>
                <w:sz w:val="24"/>
              </w:rPr>
            </w:pPr>
            <w:r>
              <w:rPr>
                <w:rFonts w:hint="eastAsia" w:ascii="宋体" w:hAnsi="宋体" w:cs="宋体"/>
                <w:sz w:val="24"/>
              </w:rPr>
              <w:t>类似业绩</w:t>
            </w:r>
          </w:p>
          <w:p w14:paraId="772C41B5">
            <w:pPr>
              <w:spacing w:line="360" w:lineRule="auto"/>
              <w:contextualSpacing/>
              <w:jc w:val="center"/>
              <w:rPr>
                <w:rFonts w:ascii="宋体" w:hAnsi="宋体" w:cs="宋体"/>
                <w:sz w:val="24"/>
              </w:rPr>
            </w:pPr>
            <w:r>
              <w:rPr>
                <w:rFonts w:hint="eastAsia" w:ascii="宋体" w:hAnsi="宋体" w:cs="宋体"/>
                <w:sz w:val="24"/>
                <w:lang w:val="en-US" w:eastAsia="zh-CN"/>
              </w:rPr>
              <w:t>8</w:t>
            </w:r>
            <w:r>
              <w:rPr>
                <w:rFonts w:ascii="宋体" w:hAnsi="宋体" w:cs="宋体"/>
                <w:sz w:val="24"/>
              </w:rPr>
              <w:t>%</w:t>
            </w:r>
          </w:p>
        </w:tc>
        <w:tc>
          <w:tcPr>
            <w:tcW w:w="757" w:type="dxa"/>
            <w:tcBorders>
              <w:top w:val="single" w:color="auto" w:sz="4" w:space="0"/>
              <w:left w:val="single" w:color="auto" w:sz="8" w:space="0"/>
              <w:bottom w:val="single" w:color="auto" w:sz="4" w:space="0"/>
              <w:right w:val="single" w:color="auto" w:sz="8" w:space="0"/>
            </w:tcBorders>
            <w:noWrap w:val="0"/>
            <w:vAlign w:val="center"/>
          </w:tcPr>
          <w:p w14:paraId="10189063">
            <w:pPr>
              <w:spacing w:line="360" w:lineRule="auto"/>
              <w:contextualSpacing/>
              <w:jc w:val="center"/>
              <w:rPr>
                <w:rFonts w:ascii="宋体" w:hAnsi="宋体" w:cs="宋体"/>
                <w:sz w:val="24"/>
              </w:rPr>
            </w:pPr>
            <w:r>
              <w:rPr>
                <w:rFonts w:hint="eastAsia" w:ascii="宋体" w:hAnsi="宋体" w:cs="宋体"/>
                <w:sz w:val="24"/>
                <w:lang w:val="en-US" w:eastAsia="zh-CN"/>
              </w:rPr>
              <w:t>8</w:t>
            </w:r>
            <w:r>
              <w:rPr>
                <w:rFonts w:hint="eastAsia" w:ascii="宋体" w:hAnsi="宋体" w:cs="宋体"/>
                <w:sz w:val="24"/>
              </w:rPr>
              <w:t>分</w:t>
            </w:r>
          </w:p>
        </w:tc>
        <w:tc>
          <w:tcPr>
            <w:tcW w:w="5905" w:type="dxa"/>
            <w:tcBorders>
              <w:top w:val="single" w:color="auto" w:sz="4" w:space="0"/>
              <w:left w:val="nil"/>
              <w:bottom w:val="single" w:color="auto" w:sz="4" w:space="0"/>
              <w:right w:val="single" w:color="auto" w:sz="8" w:space="0"/>
            </w:tcBorders>
            <w:noWrap w:val="0"/>
            <w:vAlign w:val="center"/>
          </w:tcPr>
          <w:p w14:paraId="4EB90185">
            <w:pPr>
              <w:spacing w:after="0" w:line="480" w:lineRule="exact"/>
              <w:ind w:firstLine="480" w:firstLineChars="200"/>
              <w:rPr>
                <w:rFonts w:hint="eastAsia" w:ascii="宋体" w:hAnsi="宋体" w:cs="宋体"/>
                <w:sz w:val="24"/>
              </w:rPr>
            </w:pPr>
            <w:r>
              <w:rPr>
                <w:rFonts w:hint="eastAsia" w:ascii="宋体" w:hAnsi="宋体" w:cs="宋体"/>
                <w:sz w:val="24"/>
              </w:rPr>
              <w:t>供应商2022年</w:t>
            </w:r>
            <w:r>
              <w:rPr>
                <w:rFonts w:hint="eastAsia" w:ascii="宋体" w:hAnsi="宋体" w:cs="宋体"/>
                <w:sz w:val="24"/>
                <w:lang w:val="en-US" w:eastAsia="zh-CN"/>
              </w:rPr>
              <w:t>1月至今</w:t>
            </w:r>
            <w:r>
              <w:rPr>
                <w:rFonts w:hint="eastAsia" w:ascii="宋体" w:hAnsi="宋体" w:cs="宋体"/>
                <w:sz w:val="24"/>
              </w:rPr>
              <w:t>具有类似业绩的，每提供一个得2分，本项最多</w:t>
            </w:r>
            <w:r>
              <w:rPr>
                <w:rFonts w:hint="eastAsia" w:ascii="宋体" w:hAnsi="宋体" w:cs="宋体"/>
                <w:sz w:val="24"/>
                <w:lang w:val="en-US" w:eastAsia="zh-CN"/>
              </w:rPr>
              <w:t>8</w:t>
            </w:r>
            <w:r>
              <w:rPr>
                <w:rFonts w:hint="eastAsia" w:ascii="宋体" w:hAnsi="宋体" w:cs="宋体"/>
                <w:sz w:val="24"/>
              </w:rPr>
              <w:t>分。</w:t>
            </w:r>
          </w:p>
          <w:p w14:paraId="0FB22083">
            <w:pPr>
              <w:spacing w:after="0" w:line="480" w:lineRule="exact"/>
              <w:ind w:firstLine="480" w:firstLineChars="200"/>
            </w:pPr>
            <w:r>
              <w:rPr>
                <w:rFonts w:hint="eastAsia" w:ascii="宋体" w:hAnsi="宋体" w:cs="宋体"/>
                <w:sz w:val="24"/>
                <w:lang w:val="en-US" w:eastAsia="zh-CN"/>
              </w:rPr>
              <w:t>注：提供类似项目合同复印件（至少包括项目名称、金额、内容、签字页面等）</w:t>
            </w:r>
          </w:p>
        </w:tc>
      </w:tr>
      <w:tr w14:paraId="37AA035C">
        <w:tblPrEx>
          <w:tblCellMar>
            <w:top w:w="0" w:type="dxa"/>
            <w:left w:w="108" w:type="dxa"/>
            <w:bottom w:w="0" w:type="dxa"/>
            <w:right w:w="108" w:type="dxa"/>
          </w:tblCellMar>
        </w:tblPrEx>
        <w:trPr>
          <w:jc w:val="center"/>
        </w:trPr>
        <w:tc>
          <w:tcPr>
            <w:tcW w:w="710" w:type="dxa"/>
            <w:tcBorders>
              <w:top w:val="single" w:color="auto" w:sz="4" w:space="0"/>
              <w:left w:val="single" w:color="auto" w:sz="8" w:space="0"/>
              <w:bottom w:val="single" w:color="auto" w:sz="4" w:space="0"/>
              <w:right w:val="single" w:color="auto" w:sz="8" w:space="0"/>
            </w:tcBorders>
            <w:noWrap w:val="0"/>
            <w:vAlign w:val="center"/>
          </w:tcPr>
          <w:p w14:paraId="6D6C2FE3">
            <w:pPr>
              <w:widowControl/>
              <w:spacing w:line="360" w:lineRule="auto"/>
              <w:contextualSpacing/>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5</w:t>
            </w:r>
          </w:p>
        </w:tc>
        <w:tc>
          <w:tcPr>
            <w:tcW w:w="1263" w:type="dxa"/>
            <w:tcBorders>
              <w:top w:val="single" w:color="auto" w:sz="4" w:space="0"/>
              <w:left w:val="single" w:color="auto" w:sz="8" w:space="0"/>
              <w:bottom w:val="single" w:color="auto" w:sz="4" w:space="0"/>
              <w:right w:val="single" w:color="auto" w:sz="8" w:space="0"/>
            </w:tcBorders>
            <w:noWrap w:val="0"/>
            <w:vAlign w:val="center"/>
          </w:tcPr>
          <w:p w14:paraId="4156A344">
            <w:pPr>
              <w:spacing w:line="360" w:lineRule="auto"/>
              <w:contextualSpacing/>
              <w:jc w:val="center"/>
              <w:rPr>
                <w:rFonts w:hint="eastAsia" w:ascii="宋体" w:hAnsi="宋体" w:cs="宋体"/>
                <w:sz w:val="24"/>
              </w:rPr>
            </w:pPr>
            <w:r>
              <w:rPr>
                <w:rFonts w:hint="eastAsia" w:ascii="宋体" w:hAnsi="宋体" w:cs="宋体"/>
                <w:sz w:val="24"/>
                <w:lang w:val="en-US" w:eastAsia="zh-CN"/>
              </w:rPr>
              <w:t>售后</w:t>
            </w:r>
            <w:r>
              <w:rPr>
                <w:rFonts w:hint="eastAsia" w:ascii="宋体" w:hAnsi="宋体" w:cs="宋体"/>
                <w:sz w:val="24"/>
              </w:rPr>
              <w:t>服务方案21%</w:t>
            </w:r>
          </w:p>
        </w:tc>
        <w:tc>
          <w:tcPr>
            <w:tcW w:w="757" w:type="dxa"/>
            <w:tcBorders>
              <w:top w:val="single" w:color="auto" w:sz="4" w:space="0"/>
              <w:left w:val="single" w:color="auto" w:sz="8" w:space="0"/>
              <w:bottom w:val="single" w:color="auto" w:sz="4" w:space="0"/>
              <w:right w:val="single" w:color="auto" w:sz="8" w:space="0"/>
            </w:tcBorders>
            <w:noWrap w:val="0"/>
            <w:vAlign w:val="center"/>
          </w:tcPr>
          <w:p w14:paraId="49BF28EC">
            <w:pPr>
              <w:spacing w:line="360" w:lineRule="auto"/>
              <w:contextualSpacing/>
              <w:jc w:val="center"/>
              <w:rPr>
                <w:rFonts w:hint="eastAsia" w:ascii="宋体" w:hAnsi="宋体" w:cs="宋体"/>
                <w:sz w:val="24"/>
              </w:rPr>
            </w:pPr>
            <w:r>
              <w:rPr>
                <w:rFonts w:hint="eastAsia" w:ascii="宋体" w:hAnsi="宋体" w:cs="宋体"/>
                <w:sz w:val="24"/>
              </w:rPr>
              <w:t>21分</w:t>
            </w:r>
          </w:p>
        </w:tc>
        <w:tc>
          <w:tcPr>
            <w:tcW w:w="5905" w:type="dxa"/>
            <w:tcBorders>
              <w:top w:val="single" w:color="auto" w:sz="4" w:space="0"/>
              <w:left w:val="nil"/>
              <w:bottom w:val="single" w:color="auto" w:sz="4" w:space="0"/>
              <w:right w:val="single" w:color="auto" w:sz="8" w:space="0"/>
            </w:tcBorders>
            <w:noWrap w:val="0"/>
            <w:vAlign w:val="top"/>
          </w:tcPr>
          <w:p w14:paraId="187EC948">
            <w:pPr>
              <w:spacing w:after="0"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根据投标人提供的售后服务方案进行评审，方案内容需包含：</w:t>
            </w:r>
            <w:r>
              <w:rPr>
                <w:rFonts w:hint="eastAsia" w:ascii="宋体" w:hAnsi="宋体" w:cs="宋体"/>
                <w:sz w:val="24"/>
              </w:rPr>
              <w:t>1.人员保障方案及服务电话</w:t>
            </w:r>
            <w:r>
              <w:rPr>
                <w:rFonts w:hint="eastAsia" w:ascii="宋体" w:hAnsi="宋体" w:cs="宋体"/>
                <w:sz w:val="24"/>
                <w:lang w:eastAsia="zh-CN"/>
              </w:rPr>
              <w:t>；</w:t>
            </w:r>
            <w:r>
              <w:rPr>
                <w:rFonts w:hint="eastAsia" w:ascii="宋体" w:hAnsi="宋体" w:cs="宋体"/>
                <w:sz w:val="24"/>
              </w:rPr>
              <w:t>2.响应时间及故障修复时间</w:t>
            </w:r>
            <w:r>
              <w:rPr>
                <w:rFonts w:hint="eastAsia" w:ascii="宋体" w:hAnsi="宋体" w:cs="宋体"/>
                <w:sz w:val="24"/>
                <w:lang w:eastAsia="zh-CN"/>
              </w:rPr>
              <w:t>；</w:t>
            </w:r>
            <w:r>
              <w:rPr>
                <w:rFonts w:hint="eastAsia" w:ascii="宋体" w:hAnsi="宋体" w:cs="宋体"/>
                <w:sz w:val="24"/>
              </w:rPr>
              <w:t>3.现场服务支持能力</w:t>
            </w:r>
            <w:r>
              <w:rPr>
                <w:rFonts w:hint="eastAsia" w:ascii="宋体" w:hAnsi="宋体" w:cs="宋体"/>
                <w:sz w:val="24"/>
                <w:lang w:eastAsia="zh-CN"/>
              </w:rPr>
              <w:t>；</w:t>
            </w:r>
            <w:r>
              <w:rPr>
                <w:rFonts w:hint="eastAsia" w:ascii="宋体" w:hAnsi="宋体" w:cs="宋体"/>
                <w:sz w:val="24"/>
              </w:rPr>
              <w:t>4.质保范围及期限</w:t>
            </w:r>
            <w:r>
              <w:rPr>
                <w:rFonts w:hint="eastAsia" w:ascii="宋体" w:hAnsi="宋体" w:cs="宋体"/>
                <w:sz w:val="24"/>
                <w:lang w:eastAsia="zh-CN"/>
              </w:rPr>
              <w:t>；</w:t>
            </w:r>
            <w:r>
              <w:rPr>
                <w:rFonts w:hint="eastAsia" w:ascii="宋体" w:hAnsi="宋体" w:cs="宋体"/>
                <w:sz w:val="24"/>
              </w:rPr>
              <w:t>5.培训方案</w:t>
            </w:r>
            <w:r>
              <w:rPr>
                <w:rFonts w:hint="eastAsia" w:ascii="宋体" w:hAnsi="宋体" w:cs="宋体"/>
                <w:sz w:val="24"/>
                <w:lang w:eastAsia="zh-CN"/>
              </w:rPr>
              <w:t>；</w:t>
            </w:r>
            <w:r>
              <w:rPr>
                <w:rFonts w:hint="eastAsia" w:ascii="宋体" w:hAnsi="宋体" w:cs="宋体"/>
                <w:sz w:val="24"/>
              </w:rPr>
              <w:t>6.如遇到政策调整做出响应及处理方案</w:t>
            </w:r>
            <w:r>
              <w:rPr>
                <w:rFonts w:hint="eastAsia" w:ascii="宋体" w:hAnsi="宋体" w:cs="宋体"/>
                <w:sz w:val="24"/>
                <w:lang w:eastAsia="zh-CN"/>
              </w:rPr>
              <w:t>；</w:t>
            </w:r>
            <w:r>
              <w:rPr>
                <w:rFonts w:hint="eastAsia" w:ascii="宋体" w:hAnsi="宋体" w:cs="宋体"/>
                <w:sz w:val="24"/>
              </w:rPr>
              <w:t>7.响应的应急处理措施方案进行评审</w:t>
            </w:r>
            <w:r>
              <w:rPr>
                <w:rFonts w:hint="eastAsia" w:ascii="宋体" w:hAnsi="宋体" w:cs="宋体"/>
                <w:sz w:val="24"/>
                <w:lang w:val="en-US" w:eastAsia="zh-CN"/>
              </w:rPr>
              <w:t>。每具有一项得3分，最多得21分。在此基础上，方案中存在缺陷的，每有一处扣1.5分，扣完为止。</w:t>
            </w:r>
          </w:p>
          <w:p w14:paraId="30C0FC24">
            <w:pPr>
              <w:spacing w:after="0" w:line="480" w:lineRule="exact"/>
              <w:ind w:firstLine="480" w:firstLineChars="200"/>
              <w:rPr>
                <w:rFonts w:ascii="宋体" w:hAnsi="宋体" w:cs="宋体"/>
                <w:sz w:val="24"/>
              </w:rPr>
            </w:pPr>
            <w:r>
              <w:rPr>
                <w:rFonts w:hint="eastAsia" w:ascii="宋体" w:hAnsi="宋体" w:cs="宋体"/>
                <w:sz w:val="24"/>
                <w:lang w:val="en-US" w:eastAsia="zh-CN"/>
              </w:rPr>
              <w:t>注：缺陷是指存在项目名称错误、地点区域错误、内容与本项目需求无关、方案内容矛盾、仅有框架或标题、适用的标准（方法）错误、明显复制其他项目内容等任意一种情形。</w:t>
            </w:r>
          </w:p>
        </w:tc>
      </w:tr>
    </w:tbl>
    <w:p w14:paraId="2DFE51A6">
      <w:pPr>
        <w:rPr>
          <w:rFonts w:hint="default" w:eastAsia="宋体"/>
          <w:lang w:val="en-US" w:eastAsia="zh-CN"/>
        </w:rPr>
      </w:pPr>
      <w:r>
        <w:rPr>
          <w:rFonts w:hint="eastAsia"/>
          <w:lang w:val="en-US" w:eastAsia="zh-CN"/>
        </w:rPr>
        <w:t xml:space="preserve">  </w:t>
      </w:r>
      <w:r>
        <w:rPr>
          <w:rFonts w:hint="eastAsia" w:ascii="仿宋" w:hAnsi="仿宋" w:eastAsia="仿宋" w:cs="仿宋"/>
          <w:b/>
          <w:bCs/>
          <w:sz w:val="28"/>
          <w:szCs w:val="28"/>
          <w:lang w:eastAsia="zh-CN"/>
        </w:rPr>
        <w:t>本项目</w:t>
      </w:r>
      <w:r>
        <w:rPr>
          <w:rFonts w:hint="eastAsia" w:ascii="仿宋" w:hAnsi="仿宋" w:eastAsia="仿宋"/>
          <w:b/>
          <w:bCs/>
          <w:color w:val="auto"/>
          <w:sz w:val="28"/>
          <w:szCs w:val="28"/>
          <w:lang w:eastAsia="zh-CN"/>
        </w:rPr>
        <w:t>以上所有内容标注“★”是实质性要求，供应商必须达到，未达到不能参与投标。</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50528"/>
    <w:rsid w:val="01AD4857"/>
    <w:rsid w:val="030C0492"/>
    <w:rsid w:val="031E101E"/>
    <w:rsid w:val="0399667A"/>
    <w:rsid w:val="06930E31"/>
    <w:rsid w:val="0B5113E4"/>
    <w:rsid w:val="0C9D07B2"/>
    <w:rsid w:val="0DBD3D39"/>
    <w:rsid w:val="0E172DD2"/>
    <w:rsid w:val="1092759E"/>
    <w:rsid w:val="12694D28"/>
    <w:rsid w:val="127E4CB4"/>
    <w:rsid w:val="12BC2A25"/>
    <w:rsid w:val="1449160F"/>
    <w:rsid w:val="150070E2"/>
    <w:rsid w:val="16107DB1"/>
    <w:rsid w:val="18C71A91"/>
    <w:rsid w:val="18EF60BC"/>
    <w:rsid w:val="1A473F02"/>
    <w:rsid w:val="1B473244"/>
    <w:rsid w:val="1BCE5BCB"/>
    <w:rsid w:val="1C064EF4"/>
    <w:rsid w:val="1C5C45EE"/>
    <w:rsid w:val="1D2F5BA2"/>
    <w:rsid w:val="1EDC14E9"/>
    <w:rsid w:val="1FF81420"/>
    <w:rsid w:val="207D46AC"/>
    <w:rsid w:val="21841249"/>
    <w:rsid w:val="225321C9"/>
    <w:rsid w:val="255D053D"/>
    <w:rsid w:val="269C1836"/>
    <w:rsid w:val="273D2A58"/>
    <w:rsid w:val="2CAD3B13"/>
    <w:rsid w:val="2DFD6693"/>
    <w:rsid w:val="309F4141"/>
    <w:rsid w:val="314560A8"/>
    <w:rsid w:val="31B37E8B"/>
    <w:rsid w:val="32165648"/>
    <w:rsid w:val="325B062D"/>
    <w:rsid w:val="337B63BA"/>
    <w:rsid w:val="338672F0"/>
    <w:rsid w:val="37155563"/>
    <w:rsid w:val="3B050528"/>
    <w:rsid w:val="3BC1365F"/>
    <w:rsid w:val="3E7169DC"/>
    <w:rsid w:val="440C6E91"/>
    <w:rsid w:val="44AF2A3E"/>
    <w:rsid w:val="48AC3D0B"/>
    <w:rsid w:val="49B57549"/>
    <w:rsid w:val="4A0F3DF3"/>
    <w:rsid w:val="4B193AD9"/>
    <w:rsid w:val="4C3177BE"/>
    <w:rsid w:val="4ECC40B5"/>
    <w:rsid w:val="51D26CB5"/>
    <w:rsid w:val="53D63ED2"/>
    <w:rsid w:val="5BDD7E71"/>
    <w:rsid w:val="5DE35818"/>
    <w:rsid w:val="5DEE0355"/>
    <w:rsid w:val="5FA717D2"/>
    <w:rsid w:val="61A70B2C"/>
    <w:rsid w:val="639E3B47"/>
    <w:rsid w:val="643F7B86"/>
    <w:rsid w:val="6606661D"/>
    <w:rsid w:val="67241FCE"/>
    <w:rsid w:val="67CB092B"/>
    <w:rsid w:val="6A0D0E88"/>
    <w:rsid w:val="6E3C5958"/>
    <w:rsid w:val="6FEE0806"/>
    <w:rsid w:val="70395AF6"/>
    <w:rsid w:val="704F47B1"/>
    <w:rsid w:val="732D5DB8"/>
    <w:rsid w:val="737742EB"/>
    <w:rsid w:val="784D6A80"/>
    <w:rsid w:val="79D97061"/>
    <w:rsid w:val="7C057B05"/>
    <w:rsid w:val="7CD8204C"/>
    <w:rsid w:val="7D32106F"/>
    <w:rsid w:val="7DB0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qFormat/>
    <w:uiPriority w:val="0"/>
    <w:pPr>
      <w:ind w:firstLine="630"/>
    </w:pPr>
    <w:rPr>
      <w:sz w:val="32"/>
      <w:szCs w:val="20"/>
    </w:rPr>
  </w:style>
  <w:style w:type="paragraph" w:styleId="5">
    <w:name w:val="Plain Text"/>
    <w:basedOn w:val="1"/>
    <w:next w:val="1"/>
    <w:qFormat/>
    <w:uiPriority w:val="0"/>
    <w:pPr>
      <w:autoSpaceDE w:val="0"/>
      <w:autoSpaceDN w:val="0"/>
      <w:adjustRightInd w:val="0"/>
    </w:pPr>
    <w:rPr>
      <w:rFonts w:hAnsi="Courier New"/>
      <w:kern w:val="2"/>
      <w:sz w:val="21"/>
      <w:szCs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qFormat/>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1823</Words>
  <Characters>1927</Characters>
  <Lines>0</Lines>
  <Paragraphs>0</Paragraphs>
  <TotalTime>0</TotalTime>
  <ScaleCrop>false</ScaleCrop>
  <LinksUpToDate>false</LinksUpToDate>
  <CharactersWithSpaces>1934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2025-06-23T06:29:00Z</dcterms:created>
  <dc:creator>星空</dc:creator>
  <cp:lastModifiedBy>WPS_911694258</cp:lastModifiedBy>
  <cp:lastPrinted>2025-07-02T09:08:59Z</cp:lastPrinted>
  <dcterms:modified xsi:type="dcterms:W3CDTF">2025-07-02T09:11:26Z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820D4AF0C03A41B7948D23147E5784CA_13</vt:lpwstr>
  </property>
  <property fmtid="{D5CDD505-2E9C-101B-9397-08002B2CF9AE}" pid="4" name="KSOTemplateDocerSaveRecord">
    <vt:lpwstr>eyJoZGlkIjoiOWNmMjk1MjgxZmFjNjdiYjc3NDMwMWE3YjlhMDU3MTgiLCJ1c2VySWQiOiI5MTE2OTQyNTgifQ==</vt:lpwstr>
  </property>
</Properties>
</file>