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16"/>
          <w:rFonts w:hint="eastAsia" w:ascii="宋体" w:hAnsi="宋体"/>
          <w:b/>
          <w:color w:val="000000"/>
          <w:kern w:val="0"/>
          <w:sz w:val="28"/>
          <w:szCs w:val="28"/>
        </w:rPr>
      </w:pPr>
      <w:r>
        <w:rPr>
          <w:rStyle w:val="16"/>
          <w:rFonts w:hint="eastAsia" w:ascii="宋体" w:hAnsi="宋体"/>
          <w:b w:val="0"/>
          <w:bCs/>
          <w:color w:val="000000"/>
          <w:kern w:val="0"/>
          <w:sz w:val="28"/>
          <w:szCs w:val="28"/>
        </w:rPr>
        <w:t>附件</w:t>
      </w:r>
      <w:r>
        <w:rPr>
          <w:rStyle w:val="16"/>
          <w:rFonts w:hint="eastAsia" w:ascii="宋体" w:hAnsi="宋体"/>
          <w:b w:val="0"/>
          <w:bCs/>
          <w:color w:val="000000"/>
          <w:kern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办公用</w:t>
      </w: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平板电脑采购项目采购清单、技术参数及评分标准</w:t>
      </w:r>
    </w:p>
    <w:p>
      <w:pPr>
        <w:snapToGrid w:val="0"/>
        <w:spacing w:line="300" w:lineRule="auto"/>
        <w:ind w:firstLine="482" w:firstLineChars="200"/>
        <w:jc w:val="left"/>
        <w:rPr>
          <w:rStyle w:val="16"/>
          <w:rFonts w:hint="eastAsia" w:hAnsi="宋体"/>
          <w:b/>
          <w:bCs/>
          <w:kern w:val="0"/>
          <w:sz w:val="24"/>
          <w:szCs w:val="24"/>
          <w:lang w:eastAsia="zh-CN"/>
        </w:rPr>
      </w:pPr>
      <w:r>
        <w:rPr>
          <w:rStyle w:val="16"/>
          <w:rFonts w:hint="eastAsia" w:hAnsi="宋体"/>
          <w:b/>
          <w:bCs/>
          <w:kern w:val="0"/>
          <w:sz w:val="24"/>
          <w:szCs w:val="24"/>
          <w:lang w:val="en-US" w:eastAsia="zh-CN"/>
        </w:rPr>
        <w:t>★一</w:t>
      </w:r>
      <w:r>
        <w:rPr>
          <w:rStyle w:val="16"/>
          <w:rFonts w:hint="eastAsia" w:hAnsi="宋体"/>
          <w:b/>
          <w:bCs/>
          <w:kern w:val="0"/>
          <w:sz w:val="24"/>
          <w:szCs w:val="24"/>
          <w:lang w:eastAsia="zh-CN"/>
        </w:rPr>
        <w:t>、采购清单</w:t>
      </w:r>
    </w:p>
    <w:tbl>
      <w:tblPr>
        <w:tblStyle w:val="9"/>
        <w:tblW w:w="8639" w:type="dxa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33"/>
        <w:gridCol w:w="1251"/>
        <w:gridCol w:w="1748"/>
        <w:gridCol w:w="2041"/>
        <w:gridCol w:w="14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（台）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6"/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单价限价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（元）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金额（元）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 w:val="0"/>
              <w:spacing w:line="240" w:lineRule="atLeast"/>
              <w:ind w:left="-80" w:leftChars="-38" w:right="-80" w:rightChars="-38"/>
              <w:jc w:val="center"/>
              <w:rPr>
                <w:rStyle w:val="16"/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平板电脑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  <w:t>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  <w:t>20000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以上价格含税、含安装和一年</w:t>
            </w:r>
            <w:r>
              <w:rPr>
                <w:rFonts w:hint="eastAsia"/>
                <w:lang w:val="en-US" w:eastAsia="zh-CN"/>
              </w:rPr>
              <w:t>原厂保修服务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4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合计：（大写）贰万圆整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  <w:t>0000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</w:p>
    <w:p>
      <w:pPr>
        <w:pStyle w:val="2"/>
        <w:ind w:firstLine="482" w:firstLineChars="200"/>
        <w:jc w:val="left"/>
        <w:rPr>
          <w:rStyle w:val="16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16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>二、技术参数</w:t>
      </w:r>
    </w:p>
    <w:tbl>
      <w:tblPr>
        <w:tblStyle w:val="10"/>
        <w:tblW w:w="8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40"/>
        <w:gridCol w:w="5298"/>
        <w:gridCol w:w="655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2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平板电脑</w:t>
            </w:r>
          </w:p>
        </w:tc>
        <w:tc>
          <w:tcPr>
            <w:tcW w:w="5298" w:type="dxa"/>
          </w:tcPr>
          <w:p>
            <w:pPr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1"/>
                <w:szCs w:val="21"/>
                <w:lang w:val="en-US"/>
              </w:rPr>
              <w:t>1.</w:t>
            </w:r>
            <w:r>
              <w:rPr>
                <w:rFonts w:hint="eastAsia"/>
              </w:rPr>
              <w:t>屏幕尺寸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</w:rPr>
              <w:t>英寸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1"/>
                <w:szCs w:val="21"/>
                <w:lang w:val="en-US"/>
              </w:rPr>
              <w:t>2.</w:t>
            </w:r>
            <w:r>
              <w:rPr>
                <w:rFonts w:hint="eastAsia"/>
              </w:rPr>
              <w:t>屏幕分辨率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Arial" w:hAnsi="Arial" w:cs="Arial"/>
                <w:lang w:eastAsia="zh-CN"/>
              </w:rPr>
              <w:t>≥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0*1</w:t>
            </w:r>
            <w:r>
              <w:rPr>
                <w:rFonts w:hint="eastAsia"/>
                <w:lang w:val="en-US" w:eastAsia="zh-CN"/>
              </w:rPr>
              <w:t>840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1"/>
                <w:szCs w:val="21"/>
                <w:lang w:val="en-US"/>
              </w:rPr>
              <w:t>3.</w:t>
            </w:r>
            <w:r>
              <w:rPr>
                <w:rFonts w:hint="eastAsia"/>
              </w:rPr>
              <w:t>屏幕</w:t>
            </w:r>
            <w:r>
              <w:rPr>
                <w:rFonts w:hint="eastAsia"/>
                <w:lang w:val="en-US" w:eastAsia="zh-CN"/>
              </w:rPr>
              <w:t>类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双层</w:t>
            </w:r>
            <w:r>
              <w:rPr>
                <w:rFonts w:hint="eastAsia"/>
              </w:rPr>
              <w:t>OLED</w:t>
            </w:r>
          </w:p>
          <w:p>
            <w:pPr>
              <w:rPr>
                <w:rFonts w:hint="default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bookmarkEnd w:id="0"/>
            <w:r>
              <w:rPr>
                <w:rFonts w:hint="default" w:ascii="方正仿宋_GB2312" w:hAnsi="方正仿宋_GB2312" w:eastAsia="方正仿宋_GB2312" w:cs="方正仿宋_GB2312"/>
                <w:color w:val="000000"/>
                <w:sz w:val="21"/>
                <w:szCs w:val="21"/>
                <w:lang w:val="en-US"/>
              </w:rPr>
              <w:t>4.</w:t>
            </w:r>
            <w:r>
              <w:rPr>
                <w:rFonts w:hint="eastAsia"/>
                <w:lang w:val="en-US" w:eastAsia="zh-CN"/>
              </w:rPr>
              <w:t>操作系统：国产</w:t>
            </w:r>
          </w:p>
          <w:bookmarkEnd w:id="1"/>
          <w:p>
            <w:pPr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1"/>
                <w:szCs w:val="21"/>
                <w:lang w:val="en-US"/>
              </w:rPr>
              <w:t>5.</w:t>
            </w:r>
            <w:r>
              <w:rPr>
                <w:rFonts w:hint="eastAsia"/>
              </w:rPr>
              <w:t>运行内存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Arial" w:hAnsi="Arial" w:cs="Arial"/>
                <w:lang w:eastAsia="zh-CN"/>
              </w:rPr>
              <w:t>≥</w:t>
            </w:r>
            <w:r>
              <w:rPr>
                <w:rFonts w:hint="eastAsia"/>
              </w:rPr>
              <w:t>12GB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default" w:ascii="方正仿宋_GB2312" w:hAnsi="方正仿宋_GB2312" w:eastAsia="方正仿宋_GB2312" w:cs="方正仿宋_GB2312"/>
                <w:color w:val="000000"/>
                <w:sz w:val="21"/>
                <w:szCs w:val="21"/>
                <w:lang w:val="en-US"/>
              </w:rPr>
              <w:t>6.</w:t>
            </w:r>
            <w:r>
              <w:rPr>
                <w:rFonts w:hint="eastAsia"/>
              </w:rPr>
              <w:t>存储容量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Arial" w:hAnsi="Arial" w:cs="Arial"/>
                <w:lang w:eastAsia="zh-CN"/>
              </w:rPr>
              <w:t>≥</w:t>
            </w:r>
            <w:r>
              <w:rPr>
                <w:rFonts w:hint="eastAsia"/>
              </w:rPr>
              <w:t>256GB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7.</w:t>
            </w:r>
            <w:r>
              <w:rPr>
                <w:rFonts w:hint="eastAsia"/>
              </w:rPr>
              <w:t>网络类型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WiFi版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8.</w:t>
            </w:r>
            <w:r>
              <w:rPr>
                <w:rFonts w:hint="eastAsia"/>
                <w:lang w:val="en-US" w:eastAsia="zh-CN"/>
              </w:rPr>
              <w:t>机身</w:t>
            </w:r>
            <w:r>
              <w:rPr>
                <w:rFonts w:hint="eastAsia"/>
              </w:rPr>
              <w:t>重</w:t>
            </w:r>
            <w:r>
              <w:rPr>
                <w:rFonts w:hint="eastAsia"/>
                <w:lang w:val="en-US" w:eastAsia="zh-CN"/>
              </w:rPr>
              <w:t>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Arial" w:hAnsi="Arial" w:cs="Arial"/>
                <w:lang w:eastAsia="zh-CN"/>
              </w:rPr>
              <w:t>≤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g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/>
              </w:rPr>
              <w:t>9.</w:t>
            </w:r>
            <w:r>
              <w:rPr>
                <w:rFonts w:hint="eastAsia"/>
              </w:rPr>
              <w:t>厚度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Arial" w:hAnsi="Arial" w:cs="Arial"/>
                <w:lang w:eastAsia="zh-CN"/>
              </w:rPr>
              <w:t>≤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</w:rPr>
              <w:t>mm</w:t>
            </w:r>
          </w:p>
          <w:p>
            <w:pPr>
              <w:rPr>
                <w:rFonts w:hint="eastAsia"/>
              </w:rPr>
            </w:pPr>
            <w:bookmarkStart w:id="2" w:name="OLE_LINK3"/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bookmarkEnd w:id="2"/>
            <w:r>
              <w:rPr>
                <w:rFonts w:hint="default"/>
                <w:lang w:val="en-US"/>
              </w:rPr>
              <w:t>10.</w:t>
            </w:r>
            <w:r>
              <w:rPr>
                <w:rFonts w:hint="eastAsia"/>
              </w:rPr>
              <w:t>电池容量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 w:ascii="Arial" w:hAnsi="Arial" w:cs="Arial"/>
                <w:lang w:eastAsia="zh-CN"/>
              </w:rPr>
              <w:t>≥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00mAh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11.</w:t>
            </w:r>
            <w:r>
              <w:rPr>
                <w:rFonts w:hint="eastAsia"/>
              </w:rPr>
              <w:t>摄像头像素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后置</w:t>
            </w:r>
            <w:r>
              <w:rPr>
                <w:rFonts w:hint="default" w:ascii="Arial" w:hAnsi="Arial" w:cs="Arial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1300</w:t>
            </w:r>
            <w:r>
              <w:rPr>
                <w:rFonts w:hint="eastAsia"/>
              </w:rPr>
              <w:t>W（f/1.8 光圈，自动对焦）</w:t>
            </w:r>
          </w:p>
          <w:p>
            <w:pPr>
              <w:ind w:firstLine="1575" w:firstLineChars="750"/>
              <w:rPr>
                <w:rFonts w:hint="eastAsia"/>
              </w:rPr>
            </w:pPr>
            <w:r>
              <w:rPr>
                <w:rFonts w:hint="eastAsia"/>
              </w:rPr>
              <w:t>前置</w:t>
            </w:r>
            <w:r>
              <w:rPr>
                <w:rFonts w:hint="default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00W（f/2.2 光圈，固定焦距）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12.</w:t>
            </w:r>
            <w:r>
              <w:rPr>
                <w:rFonts w:hint="eastAsia"/>
              </w:rPr>
              <w:t>数据传输接口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USB、WiFi、蓝牙、星闪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13.</w:t>
            </w:r>
            <w:r>
              <w:rPr>
                <w:rFonts w:hint="eastAsia"/>
              </w:rPr>
              <w:t>功能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多点触控；AI语音；分屏功能；GPS导航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指纹传感器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环境光传感器；指南针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重力传感器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</w:tbl>
    <w:p/>
    <w:p>
      <w:pPr>
        <w:pStyle w:val="4"/>
        <w:numPr>
          <w:ilvl w:val="0"/>
          <w:numId w:val="0"/>
        </w:numPr>
        <w:rPr>
          <w:rStyle w:val="16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</w:pPr>
      <w:r>
        <w:rPr>
          <w:rStyle w:val="16"/>
          <w:rFonts w:hint="eastAsia" w:hAnsi="宋体"/>
          <w:b/>
          <w:bCs/>
          <w:kern w:val="0"/>
          <w:sz w:val="24"/>
          <w:szCs w:val="24"/>
        </w:rPr>
        <w:t>★</w:t>
      </w:r>
      <w:r>
        <w:rPr>
          <w:rStyle w:val="16"/>
          <w:rFonts w:hint="eastAsia" w:hAnsi="宋体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Style w:val="16"/>
          <w:rFonts w:hint="eastAsia" w:hAnsi="宋体" w:asciiTheme="minorHAnsi" w:eastAsiaTheme="minorEastAsia" w:cstheme="minorBidi"/>
          <w:b/>
          <w:bCs/>
          <w:kern w:val="0"/>
          <w:sz w:val="24"/>
          <w:szCs w:val="24"/>
          <w:lang w:val="en-US" w:eastAsia="zh-CN" w:bidi="ar-SA"/>
        </w:rPr>
        <w:t xml:space="preserve">售后服务的要求: </w:t>
      </w:r>
    </w:p>
    <w:p>
      <w:pPr>
        <w:pStyle w:val="4"/>
        <w:numPr>
          <w:ilvl w:val="0"/>
          <w:numId w:val="0"/>
        </w:num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  <w:t>质保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-SA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-SA"/>
        </w:rPr>
        <w:t>年，质保期内，成交供应商负责提供产品维护、维修及抢修服务，并提供7×24小时365天无休服务。服务期限内属质量问题所发生的一切费用由成交供应商承担。</w:t>
      </w:r>
    </w:p>
    <w:p>
      <w:pPr>
        <w:snapToGrid w:val="0"/>
        <w:spacing w:line="300" w:lineRule="auto"/>
        <w:ind w:firstLine="482" w:firstLineChars="200"/>
        <w:jc w:val="left"/>
        <w:rPr>
          <w:rStyle w:val="16"/>
          <w:rFonts w:hint="eastAsia" w:hAnsi="宋体"/>
          <w:b/>
          <w:bCs/>
          <w:kern w:val="0"/>
          <w:sz w:val="24"/>
          <w:szCs w:val="24"/>
          <w:lang w:eastAsia="zh-CN"/>
        </w:rPr>
      </w:pPr>
      <w:r>
        <w:rPr>
          <w:rStyle w:val="16"/>
          <w:rFonts w:hint="eastAsia" w:hAnsi="宋体"/>
          <w:b/>
          <w:bCs/>
          <w:kern w:val="0"/>
          <w:sz w:val="24"/>
          <w:szCs w:val="24"/>
          <w:lang w:eastAsia="zh-CN"/>
        </w:rPr>
        <w:t>备注：本项目</w:t>
      </w:r>
      <w:r>
        <w:rPr>
          <w:rStyle w:val="16"/>
          <w:rFonts w:hint="eastAsia" w:hAnsi="宋体"/>
          <w:b/>
          <w:bCs/>
          <w:kern w:val="0"/>
          <w:sz w:val="24"/>
          <w:szCs w:val="24"/>
        </w:rPr>
        <w:t>带“★”的参数需求为实质性要求，供应商必须响应并满足参数需求</w:t>
      </w:r>
      <w:r>
        <w:rPr>
          <w:rStyle w:val="16"/>
          <w:rFonts w:hint="eastAsia" w:hAnsi="宋体"/>
          <w:b/>
          <w:bCs/>
          <w:kern w:val="0"/>
          <w:sz w:val="24"/>
          <w:szCs w:val="24"/>
          <w:lang w:eastAsia="zh-CN"/>
        </w:rPr>
        <w:t>。</w:t>
      </w:r>
    </w:p>
    <w:p/>
    <w:p/>
    <w:p>
      <w:pPr>
        <w:pStyle w:val="2"/>
        <w:jc w:val="center"/>
      </w:pPr>
      <w:r>
        <w:rPr>
          <w:rFonts w:hint="eastAsia"/>
        </w:rPr>
        <w:t>评分标准</w:t>
      </w:r>
    </w:p>
    <w:tbl>
      <w:tblPr>
        <w:tblStyle w:val="9"/>
        <w:tblW w:w="96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95"/>
        <w:gridCol w:w="714"/>
        <w:gridCol w:w="5550"/>
        <w:gridCol w:w="16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评分因素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及权重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555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报价30%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30分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以本次最低有效投标报价为基准价，投标报价得分=(基准价／投标报价)*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38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技术指标20%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20分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完全符合招标文件的要求没有负偏离得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0分；招标文件无“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”为基本技术指标，一项不满足扣1分；招标文件中带“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”为重要技术条款，一项不满足扣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分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-38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服务方案30%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30分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供应商针对本项目制定的服务方案进行评审，项目服务方案包含①安装、调试方案；②质量保障措施；③售后服务方案。涵盖以上内容且方案合理，针对性强，逻辑条理清晰、内容详尽、完全满足项目要求的得30分，在此基础上，每缺少一项内容扣10分，每有一处内容存在缺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酌情扣分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，本项扣完为止。（“内容存在缺陷”是指：①本项目提供的方案中引用法律、规范、标准存在失效或错误；②非专门针对本项目或内容与本项目需求无关；③内容矛盾或前后表述不一致。）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服务响应时间20%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2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20分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供应商接到采购人通知后：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（1）能够在1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分钟（含）内达到大邑县人民医院指定服务地点的，得20分；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（2）能够在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～30分钟（含）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达到大邑县人民医院指定服务地点的，得15分；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（3）能够在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分钟（含）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达到大邑县人民医院指定服务地点的，得10分；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（4）能够在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分钟（含）及以上达到大邑县人民医院指定服务地点的，得5分。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注：提供承诺函原件。</w:t>
            </w:r>
          </w:p>
        </w:tc>
        <w:tc>
          <w:tcPr>
            <w:tcW w:w="1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zh-CN"/>
              </w:rPr>
              <w:t>采购活动结束后，采购人如有必要将核实供应商所作承诺真实性，如提供虚假承诺将严肃追究供应商虚假承诺的相关责任。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czZGJiMzk3NmE4MTFmY2I0NmVkOTVhODY4OTk3OTcifQ=="/>
  </w:docVars>
  <w:rsids>
    <w:rsidRoot w:val="0BA707B1"/>
    <w:rsid w:val="00311E80"/>
    <w:rsid w:val="007209BC"/>
    <w:rsid w:val="0084541F"/>
    <w:rsid w:val="00BC7206"/>
    <w:rsid w:val="00DD5CD7"/>
    <w:rsid w:val="00F434D6"/>
    <w:rsid w:val="00F539CD"/>
    <w:rsid w:val="04955BF2"/>
    <w:rsid w:val="075B3BE7"/>
    <w:rsid w:val="0BA707B1"/>
    <w:rsid w:val="0D67410D"/>
    <w:rsid w:val="0D9F25DB"/>
    <w:rsid w:val="13C46326"/>
    <w:rsid w:val="16417F65"/>
    <w:rsid w:val="26081B94"/>
    <w:rsid w:val="30F56A2D"/>
    <w:rsid w:val="35DE3DB8"/>
    <w:rsid w:val="39A11192"/>
    <w:rsid w:val="3C43784D"/>
    <w:rsid w:val="40541A6F"/>
    <w:rsid w:val="43A42E81"/>
    <w:rsid w:val="43AC585A"/>
    <w:rsid w:val="48302006"/>
    <w:rsid w:val="6131320A"/>
    <w:rsid w:val="6E9F0F28"/>
    <w:rsid w:val="73076EFF"/>
    <w:rsid w:val="75AE241F"/>
    <w:rsid w:val="790C4F0F"/>
    <w:rsid w:val="79333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 w:val="18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1081</Words>
  <Characters>1167</Characters>
  <Lines>12</Lines>
  <Paragraphs>3</Paragraphs>
  <TotalTime>11</TotalTime>
  <ScaleCrop>false</ScaleCrop>
  <LinksUpToDate>false</LinksUpToDate>
  <CharactersWithSpaces>1173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2024-08-07T14:14:00Z</dcterms:created>
  <dc:creator>成都明日世纪惠普金牌服务</dc:creator>
  <cp:lastModifiedBy>HP</cp:lastModifiedBy>
  <cp:lastPrinted>2025-03-03T08:34:00Z</cp:lastPrinted>
  <dcterms:modified xsi:type="dcterms:W3CDTF">2025-05-20T05:48:13Z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6958F7A0B61D49D5A3B0B236DE3AF86D_11</vt:lpwstr>
  </property>
  <property fmtid="{D5CDD505-2E9C-101B-9397-08002B2CF9AE}" pid="4" name="KSOTemplateDocerSaveRecord">
    <vt:lpwstr>eyJoZGlkIjoiYWYwYWRhOTQ5NWY3MGNmNWE0MmFmZThhY2RmNzg2OTMiLCJ1c2VySWQiOiI5NTY4ODUwNjIifQ==</vt:lpwstr>
  </property>
</Properties>
</file>