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80" w:lineRule="exact"/>
        <w:ind w:firstLine="480" w:firstLineChars="20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大邑县人民医院工程造价咨询服务项目比选文件</w:t>
      </w:r>
    </w:p>
    <w:p>
      <w:pPr>
        <w:wordWrap w:val="0"/>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r>
        <w:rPr>
          <w:rFonts w:hint="eastAsia"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val="en-US" w:eastAsia="zh-CN"/>
        </w:rPr>
        <w:t>基本情况</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拟对院内</w:t>
      </w:r>
      <w:r>
        <w:rPr>
          <w:rFonts w:hint="eastAsia" w:hAnsi="宋体" w:cs="宋体"/>
          <w:color w:val="auto"/>
          <w:sz w:val="24"/>
          <w:szCs w:val="24"/>
          <w:highlight w:val="none"/>
          <w:lang w:val="en-US" w:eastAsia="zh-CN"/>
        </w:rPr>
        <w:t>零星维修工程改造等</w:t>
      </w:r>
      <w:r>
        <w:rPr>
          <w:rFonts w:hint="eastAsia" w:ascii="宋体" w:hAnsi="宋体" w:eastAsia="宋体" w:cs="宋体"/>
          <w:color w:val="auto"/>
          <w:sz w:val="24"/>
          <w:szCs w:val="24"/>
          <w:highlight w:val="none"/>
          <w:lang w:val="en-US" w:eastAsia="zh-CN"/>
        </w:rPr>
        <w:t>编制工程量清单（含招标控制价）。</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二、服务内容</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（1）编制工程量清单（含招标控制价）；</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（2）材料、设备价咨询（项目前期招投标阶段）；</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（3）配合完成项目的财政评审工作；</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（4）配合完成项目的施工招标相关的工程造价工作；</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三、服务要求</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（1）在服务过程中供应商应依据与本项目涉及的工程项目相适应的最新《四川省建设工程工程量清单计价定额》及定额解释、工程造价文件等进行服务。所有出具的成果文件需符合相关规范及标准。</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工程量清单及招标控制价编制根据《建设工程量清单计价规范》（GB50500-2013）及采购人提供的施工图纸、施工招标要求、具体编制要求。服务质量需符合国家法律法规及技术规范、行业标准，具体由采购人和成交供应商在政府采购合同中约定。</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在编制工程量清单的过程中，发现采购人提供的设计施工图纸、地勘报告等相关技术资料存在错、漏、碰、缺等缺陷，应及时向采购人反馈，并提出书面建议意见。供应商应按采购人要求积极配合财政评审中心完成相关评审工作。评审结束后，若有需要修改的内容，供应商应积极配合。</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（4）供应商在工程造价咨询服务过程中提交的书面成果应在采购人要求的期限之内完成。</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（5）供应商响应文件中拟派的项目团队人员须是项目实施过程中派往本项目的造价人员。</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（6）供应商应遵循比选文件的要求，完成相关服务工作，并对服务成果及相关信息负保密责任。</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在接到采购人通知后三个工作日内供应商须进入履行服务状态。供应商获得成交资格后，原则上不得更换响应文件中制定的拟派人员，如未经采购人同意更换拟派人员的，采购人有权利无条件取消其服务资格。</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四、商务要求</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（一）项目地点：采购人指定地点； </w:t>
      </w:r>
    </w:p>
    <w:p>
      <w:pPr>
        <w:wordWrap w:val="0"/>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（二）服务期限：</w:t>
      </w:r>
      <w:r>
        <w:rPr>
          <w:rFonts w:hint="eastAsia" w:hAnsi="宋体" w:cs="宋体"/>
          <w:color w:val="auto"/>
          <w:sz w:val="24"/>
          <w:szCs w:val="24"/>
          <w:highlight w:val="none"/>
          <w:lang w:val="en-US" w:eastAsia="zh-CN"/>
        </w:rPr>
        <w:t>1年；</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hAnsi="宋体" w:cs="宋体"/>
          <w:color w:val="auto"/>
          <w:sz w:val="24"/>
          <w:szCs w:val="24"/>
          <w:highlight w:val="none"/>
          <w:lang w:val="en-US" w:eastAsia="zh-CN"/>
        </w:rPr>
        <w:t>计费标准及</w:t>
      </w:r>
      <w:r>
        <w:rPr>
          <w:rFonts w:hint="eastAsia" w:ascii="宋体" w:hAnsi="宋体" w:eastAsia="宋体" w:cs="宋体"/>
          <w:color w:val="auto"/>
          <w:sz w:val="24"/>
          <w:szCs w:val="24"/>
          <w:highlight w:val="none"/>
          <w:lang w:val="en-US" w:eastAsia="zh-CN"/>
        </w:rPr>
        <w:t>付款方式：</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造价咨询服务费的报价：按四川省物价局、四川省建设厅关于《工程造价咨询服务收费标准》的通知（川价发[2008]141号文件）计费标准。咨询服务费用按照实际产生数量结合单个项目金额进行计算，其中：</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0.5万元&lt;预算金额≦1.0万元，咨询服务费为￥625元(大写:陆佰贰拾伍元整)；</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1.0万元&lt;预算金额≦2.0万元，咨询服务费为￥875元(大写:捌佰柒拾伍元整)；</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2.0万元&lt;预算金额≦5.0万元，咨询服务费为￥1250元(大写:壹仟贰佰伍拾元整)；</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5.0万元&lt;预算金额≦10.0万元，咨询服务费为￥1875元(大写:壹仟捌佰柒拾伍元整)；</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10.0万元&lt;预算金额≦20.0万元，咨询服务费为￥2500元(大写:贰仟伍佰元整)；</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20.0万元&lt;预算金额≦50.0万元，咨询服务费为￥3750元(大写:叁仟柒佰伍拾元整)；</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50.0万元&lt;预算金额≦100.0万元，咨询服务费为￥</w:t>
      </w:r>
      <w:r>
        <w:rPr>
          <w:rFonts w:hint="eastAsia" w:hAnsi="宋体" w:cs="宋体"/>
          <w:color w:val="auto"/>
          <w:sz w:val="24"/>
          <w:szCs w:val="24"/>
          <w:highlight w:val="none"/>
          <w:lang w:val="en-US" w:eastAsia="zh-CN"/>
        </w:rPr>
        <w:t>4000</w:t>
      </w:r>
      <w:r>
        <w:rPr>
          <w:rFonts w:hint="eastAsia" w:ascii="宋体" w:hAnsi="宋体" w:eastAsia="宋体" w:cs="宋体"/>
          <w:color w:val="auto"/>
          <w:sz w:val="24"/>
          <w:szCs w:val="24"/>
          <w:highlight w:val="none"/>
          <w:lang w:val="en-US" w:eastAsia="zh-CN"/>
        </w:rPr>
        <w:t>元(大写:</w:t>
      </w:r>
      <w:r>
        <w:rPr>
          <w:rFonts w:hint="eastAsia" w:hAnsi="宋体" w:cs="宋体"/>
          <w:color w:val="auto"/>
          <w:sz w:val="24"/>
          <w:szCs w:val="24"/>
          <w:highlight w:val="none"/>
          <w:lang w:val="en-US" w:eastAsia="zh-CN"/>
        </w:rPr>
        <w:t>肆</w:t>
      </w:r>
      <w:r>
        <w:rPr>
          <w:rFonts w:hint="eastAsia" w:ascii="宋体" w:hAnsi="宋体" w:eastAsia="宋体" w:cs="宋体"/>
          <w:color w:val="auto"/>
          <w:sz w:val="24"/>
          <w:szCs w:val="24"/>
          <w:highlight w:val="none"/>
          <w:lang w:val="en-US" w:eastAsia="zh-CN"/>
        </w:rPr>
        <w:t>仟元整)；</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100.0万元以上预算金额，咨询服务费按《四川省工程造价咨询服务收费标准》川价发【2008】141号文件计取。</w:t>
      </w:r>
    </w:p>
    <w:p>
      <w:pPr>
        <w:wordWrap w:val="0"/>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中标供应商根据中标折扣率进行最终结算。</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委托人同意按以下支付时间与方式，支付服务酬金:工程造价咨询服务完成并出具经委托人验收合格的项目相应报告或出具工程编制招标控制价及工程量清单后，委托人按一年进行服务酬金支付。(支付前，咨询人需要提供相应的项目明细表及税票等)</w:t>
      </w:r>
      <w:r>
        <w:rPr>
          <w:rFonts w:hint="eastAsia" w:hAnsi="宋体" w:cs="宋体"/>
          <w:color w:val="auto"/>
          <w:sz w:val="24"/>
          <w:szCs w:val="24"/>
          <w:highlight w:val="none"/>
          <w:lang w:val="en-US" w:eastAsia="zh-CN"/>
        </w:rPr>
        <w:t>。</w:t>
      </w:r>
    </w:p>
    <w:p>
      <w:pPr>
        <w:wordWrap w:val="0"/>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（四）成果提交：成交供应商应向采购人提交完整合格的工程量清单(含预算控制价)纸质版</w:t>
      </w:r>
      <w:r>
        <w:rPr>
          <w:rFonts w:hint="eastAsia"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套并按照相关要求加盖印章以及软件版电子文档一份。</w:t>
      </w:r>
    </w:p>
    <w:p>
      <w:pPr>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br w:type="page"/>
      </w:r>
    </w:p>
    <w:tbl>
      <w:tblPr>
        <w:tblStyle w:val="3"/>
        <w:tblpPr w:leftFromText="180" w:rightFromText="180" w:vertAnchor="page" w:horzAnchor="page" w:tblpX="700" w:tblpY="1425"/>
        <w:tblOverlap w:val="never"/>
        <w:tblW w:w="10488" w:type="dxa"/>
        <w:tblInd w:w="0" w:type="dxa"/>
        <w:tblLayout w:type="fixed"/>
        <w:tblCellMar>
          <w:top w:w="15" w:type="dxa"/>
          <w:left w:w="15" w:type="dxa"/>
          <w:bottom w:w="15" w:type="dxa"/>
          <w:right w:w="15" w:type="dxa"/>
        </w:tblCellMar>
      </w:tblPr>
      <w:tblGrid>
        <w:gridCol w:w="636"/>
        <w:gridCol w:w="1387"/>
        <w:gridCol w:w="637"/>
        <w:gridCol w:w="6461"/>
        <w:gridCol w:w="1367"/>
      </w:tblGrid>
      <w:tr>
        <w:tblPrEx>
          <w:tblLayout w:type="fixed"/>
        </w:tblPrEx>
        <w:trPr>
          <w:cantSplit/>
          <w:trHeight w:val="596"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eastAsia" w:ascii="仿宋" w:hAnsi="仿宋" w:eastAsia="仿宋" w:cs="仿宋"/>
                <w:b/>
                <w:bCs/>
                <w:kern w:val="2"/>
                <w:sz w:val="24"/>
                <w:szCs w:val="24"/>
                <w:highlight w:val="none"/>
                <w:lang w:eastAsia="zh-CN"/>
              </w:rPr>
            </w:pPr>
            <w:r>
              <w:rPr>
                <w:rFonts w:hint="eastAsia" w:ascii="仿宋" w:hAnsi="仿宋" w:eastAsia="仿宋" w:cs="仿宋"/>
                <w:b/>
                <w:bCs/>
                <w:kern w:val="2"/>
                <w:sz w:val="24"/>
                <w:szCs w:val="24"/>
                <w:highlight w:val="none"/>
                <w:lang w:eastAsia="zh-CN"/>
              </w:rPr>
              <w:t>序号</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评分因素及权重</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分值</w:t>
            </w:r>
          </w:p>
        </w:tc>
        <w:tc>
          <w:tcPr>
            <w:tcW w:w="6461"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评分标准</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备注</w:t>
            </w:r>
          </w:p>
        </w:tc>
      </w:tr>
      <w:tr>
        <w:tblPrEx>
          <w:tblLayout w:type="fixed"/>
          <w:tblCellMar>
            <w:top w:w="15" w:type="dxa"/>
            <w:left w:w="15" w:type="dxa"/>
            <w:bottom w:w="15" w:type="dxa"/>
            <w:right w:w="15" w:type="dxa"/>
          </w:tblCellMar>
        </w:tblPrEx>
        <w:trPr>
          <w:cantSplit/>
          <w:trHeight w:val="9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eastAsia" w:ascii="Calibri" w:hAnsi="Calibri" w:eastAsia="宋体" w:cs="Times New Roman"/>
                <w:sz w:val="24"/>
                <w:szCs w:val="24"/>
                <w:highlight w:val="none"/>
                <w:lang w:val="en-US" w:eastAsia="zh-CN"/>
              </w:rPr>
            </w:pPr>
            <w:r>
              <w:rPr>
                <w:rFonts w:hint="eastAsia" w:ascii="Calibri" w:hAnsi="Calibri" w:eastAsia="宋体" w:cs="Times New Roman"/>
                <w:sz w:val="24"/>
                <w:szCs w:val="24"/>
                <w:highlight w:val="none"/>
                <w:lang w:val="en-US" w:eastAsia="zh-CN"/>
              </w:rPr>
              <w:t>1</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eastAsia" w:ascii="Calibri" w:hAnsi="Calibri" w:eastAsia="宋体" w:cs="Times New Roman"/>
                <w:sz w:val="24"/>
                <w:szCs w:val="24"/>
                <w:highlight w:val="none"/>
                <w:lang w:val="en-US" w:eastAsia="zh-Hans"/>
              </w:rPr>
            </w:pPr>
            <w:r>
              <w:rPr>
                <w:rFonts w:hint="eastAsia" w:ascii="Calibri" w:hAnsi="Calibri" w:eastAsia="宋体" w:cs="Times New Roman"/>
                <w:sz w:val="24"/>
                <w:szCs w:val="24"/>
                <w:highlight w:val="none"/>
                <w:lang w:val="en-US" w:eastAsia="zh-CN"/>
              </w:rPr>
              <w:t>报价</w:t>
            </w:r>
          </w:p>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eastAsia" w:ascii="Calibri" w:hAnsi="Calibri" w:eastAsia="宋体" w:cs="Times New Roman"/>
                <w:sz w:val="24"/>
                <w:szCs w:val="24"/>
                <w:highlight w:val="none"/>
                <w:lang w:val="en-US" w:eastAsia="zh-Hans"/>
              </w:rPr>
            </w:pPr>
            <w:r>
              <w:rPr>
                <w:rFonts w:hint="eastAsia" w:ascii="Calibri" w:hAnsi="Calibri" w:cs="Times New Roman"/>
                <w:sz w:val="24"/>
                <w:szCs w:val="24"/>
                <w:highlight w:val="none"/>
                <w:lang w:val="en-US" w:eastAsia="zh-CN"/>
              </w:rPr>
              <w:t>2</w:t>
            </w:r>
            <w:r>
              <w:rPr>
                <w:rFonts w:hint="eastAsia" w:ascii="Calibri" w:hAnsi="Calibri" w:eastAsia="宋体" w:cs="Times New Roman"/>
                <w:sz w:val="24"/>
                <w:szCs w:val="24"/>
                <w:highlight w:val="none"/>
                <w:lang w:val="en-US" w:eastAsia="zh-CN"/>
              </w:rPr>
              <w:t>0%</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eastAsia" w:ascii="Calibri" w:hAnsi="Calibri" w:eastAsia="宋体" w:cs="Times New Roman"/>
                <w:sz w:val="24"/>
                <w:szCs w:val="24"/>
                <w:highlight w:val="none"/>
                <w:lang w:val="en-US" w:eastAsia="zh-Hans"/>
              </w:rPr>
            </w:pPr>
            <w:r>
              <w:rPr>
                <w:rFonts w:hint="eastAsia" w:ascii="Calibri" w:hAnsi="Calibri" w:cs="Times New Roman"/>
                <w:sz w:val="24"/>
                <w:szCs w:val="24"/>
                <w:highlight w:val="none"/>
                <w:lang w:val="en-US" w:eastAsia="zh-CN"/>
              </w:rPr>
              <w:t>20</w:t>
            </w:r>
            <w:r>
              <w:rPr>
                <w:rFonts w:hint="eastAsia" w:ascii="Calibri" w:hAnsi="Calibri" w:eastAsia="宋体" w:cs="Times New Roman"/>
                <w:sz w:val="24"/>
                <w:szCs w:val="24"/>
                <w:highlight w:val="none"/>
                <w:lang w:val="en-US" w:eastAsia="zh-Hans"/>
              </w:rPr>
              <w:t>分</w:t>
            </w:r>
          </w:p>
        </w:tc>
        <w:tc>
          <w:tcPr>
            <w:tcW w:w="6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spacing w:after="0" w:line="320" w:lineRule="exact"/>
              <w:ind w:left="0" w:leftChars="0"/>
              <w:textAlignment w:val="auto"/>
              <w:rPr>
                <w:rFonts w:hint="eastAsia" w:ascii="Calibri" w:hAnsi="Calibri" w:eastAsia="宋体" w:cs="Times New Roman"/>
                <w:sz w:val="24"/>
                <w:szCs w:val="24"/>
                <w:highlight w:val="none"/>
                <w:lang w:val="en-US" w:eastAsia="zh-CN"/>
              </w:rPr>
            </w:pPr>
            <w:r>
              <w:rPr>
                <w:rFonts w:hint="eastAsia"/>
                <w:sz w:val="24"/>
                <w:szCs w:val="24"/>
                <w:highlight w:val="none"/>
              </w:rPr>
              <w:t>按报价标准下浮，下浮百分之1得1分，最高得</w:t>
            </w:r>
            <w:r>
              <w:rPr>
                <w:rFonts w:hint="eastAsia"/>
                <w:sz w:val="24"/>
                <w:szCs w:val="24"/>
                <w:highlight w:val="none"/>
                <w:lang w:val="en-US" w:eastAsia="zh-CN"/>
              </w:rPr>
              <w:t>20</w:t>
            </w:r>
            <w:r>
              <w:rPr>
                <w:rFonts w:hint="eastAsia"/>
                <w:sz w:val="24"/>
                <w:szCs w:val="24"/>
                <w:highlight w:val="none"/>
              </w:rPr>
              <w:t>分</w:t>
            </w:r>
            <w:r>
              <w:rPr>
                <w:rFonts w:hint="eastAsia"/>
                <w:sz w:val="24"/>
                <w:szCs w:val="24"/>
                <w:highlight w:val="none"/>
                <w:lang w:eastAsia="zh-CN"/>
              </w:rPr>
              <w:t>（本次报价以造价咨询服务费</w:t>
            </w:r>
            <w:r>
              <w:rPr>
                <w:rFonts w:hint="eastAsia"/>
                <w:sz w:val="24"/>
                <w:szCs w:val="24"/>
                <w:highlight w:val="none"/>
                <w:lang w:val="en-US" w:eastAsia="zh-CN"/>
              </w:rPr>
              <w:t>计费标准</w:t>
            </w:r>
            <w:r>
              <w:rPr>
                <w:rFonts w:hint="eastAsia"/>
                <w:sz w:val="24"/>
                <w:szCs w:val="24"/>
                <w:highlight w:val="none"/>
                <w:lang w:eastAsia="zh-CN"/>
              </w:rPr>
              <w:t>的统一折扣率进行报价）</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eastAsia" w:ascii="Calibri" w:hAnsi="Calibri" w:eastAsia="宋体" w:cs="Times New Roman"/>
                <w:sz w:val="24"/>
                <w:szCs w:val="24"/>
                <w:highlight w:val="none"/>
                <w:lang w:val="en-US" w:eastAsia="zh-Hans"/>
              </w:rPr>
            </w:pPr>
            <w:bookmarkStart w:id="0" w:name="_GoBack"/>
            <w:bookmarkEnd w:id="0"/>
          </w:p>
        </w:tc>
      </w:tr>
      <w:tr>
        <w:tblPrEx>
          <w:tblLayout w:type="fixed"/>
          <w:tblCellMar>
            <w:top w:w="15" w:type="dxa"/>
            <w:left w:w="15" w:type="dxa"/>
            <w:bottom w:w="15" w:type="dxa"/>
            <w:right w:w="15" w:type="dxa"/>
          </w:tblCellMar>
        </w:tblPrEx>
        <w:trPr>
          <w:cantSplit/>
          <w:trHeight w:val="2489"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eastAsia" w:ascii="Calibri" w:hAnsi="Calibri" w:eastAsia="宋体" w:cs="Times New Roman"/>
                <w:sz w:val="24"/>
                <w:szCs w:val="24"/>
                <w:highlight w:val="none"/>
                <w:lang w:val="en-US" w:eastAsia="zh-CN"/>
              </w:rPr>
            </w:pPr>
            <w:r>
              <w:rPr>
                <w:rFonts w:hint="eastAsia" w:ascii="Calibri" w:hAnsi="Calibri" w:eastAsia="宋体" w:cs="Times New Roman"/>
                <w:sz w:val="24"/>
                <w:szCs w:val="24"/>
                <w:highlight w:val="none"/>
                <w:lang w:val="en-US" w:eastAsia="zh-CN"/>
              </w:rPr>
              <w:t>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eastAsia" w:ascii="Calibri" w:hAnsi="Calibri" w:eastAsia="宋体" w:cs="Times New Roman"/>
                <w:sz w:val="24"/>
                <w:szCs w:val="24"/>
                <w:highlight w:val="none"/>
                <w:lang w:val="en-US" w:eastAsia="zh-CN" w:bidi="ar-SA"/>
              </w:rPr>
            </w:pPr>
            <w:r>
              <w:rPr>
                <w:rFonts w:hint="eastAsia" w:ascii="Calibri" w:hAnsi="Calibri" w:eastAsia="宋体" w:cs="Times New Roman"/>
                <w:sz w:val="24"/>
                <w:szCs w:val="24"/>
                <w:highlight w:val="none"/>
                <w:lang w:val="en-US" w:eastAsia="zh-CN"/>
              </w:rPr>
              <w:t>项目服务方案</w:t>
            </w:r>
            <w:r>
              <w:rPr>
                <w:rFonts w:hint="eastAsia" w:ascii="Calibri" w:hAnsi="Calibri" w:cs="Times New Roman"/>
                <w:sz w:val="24"/>
                <w:szCs w:val="24"/>
                <w:highlight w:val="none"/>
                <w:lang w:val="en-US" w:eastAsia="zh-CN"/>
              </w:rPr>
              <w:t>25</w:t>
            </w:r>
            <w:r>
              <w:rPr>
                <w:rFonts w:hint="eastAsia" w:ascii="Calibri" w:hAnsi="Calibri" w:eastAsia="宋体" w:cs="Times New Roman"/>
                <w:sz w:val="24"/>
                <w:szCs w:val="24"/>
                <w:highlight w:val="none"/>
                <w:lang w:val="en-US" w:eastAsia="zh-CN"/>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eastAsia" w:ascii="Calibri" w:hAnsi="Calibri" w:eastAsia="宋体" w:cs="Times New Roman"/>
                <w:sz w:val="24"/>
                <w:szCs w:val="24"/>
                <w:highlight w:val="none"/>
                <w:lang w:val="en-US" w:eastAsia="zh-CN" w:bidi="ar-SA"/>
              </w:rPr>
            </w:pPr>
            <w:r>
              <w:rPr>
                <w:rFonts w:hint="eastAsia" w:ascii="Calibri" w:hAnsi="Calibri" w:cs="Times New Roman"/>
                <w:sz w:val="24"/>
                <w:szCs w:val="24"/>
                <w:highlight w:val="none"/>
                <w:lang w:val="en-US" w:eastAsia="zh-CN"/>
              </w:rPr>
              <w:t>25</w:t>
            </w:r>
            <w:r>
              <w:rPr>
                <w:rFonts w:hint="eastAsia" w:ascii="Calibri" w:hAnsi="Calibri" w:eastAsia="宋体" w:cs="Times New Roman"/>
                <w:sz w:val="24"/>
                <w:szCs w:val="24"/>
                <w:highlight w:val="none"/>
                <w:lang w:val="en-US" w:eastAsia="zh-CN"/>
              </w:rPr>
              <w:t>分</w:t>
            </w:r>
          </w:p>
        </w:tc>
        <w:tc>
          <w:tcPr>
            <w:tcW w:w="64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0"/>
              </w:numPr>
              <w:kinsoku/>
              <w:wordWrap/>
              <w:overflowPunct/>
              <w:topLinePunct w:val="0"/>
              <w:autoSpaceDE/>
              <w:autoSpaceDN/>
              <w:bidi w:val="0"/>
              <w:spacing w:after="0" w:line="32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1、服务方案的质量及完整性:方案编制内容完整(包含复核设计慨算、工程量清单编制、合同管理、资料管理、签证变更管理等内容)且思路清晰、措施得当优得10分，良得7分，差得4，未提供不得分;</w:t>
            </w:r>
          </w:p>
          <w:p>
            <w:pPr>
              <w:keepNext w:val="0"/>
              <w:keepLines w:val="0"/>
              <w:pageBreakBefore w:val="0"/>
              <w:widowControl/>
              <w:numPr>
                <w:ilvl w:val="0"/>
                <w:numId w:val="0"/>
              </w:numPr>
              <w:kinsoku/>
              <w:wordWrap/>
              <w:overflowPunct/>
              <w:topLinePunct w:val="0"/>
              <w:autoSpaceDE/>
              <w:autoSpaceDN/>
              <w:bidi w:val="0"/>
              <w:spacing w:after="0" w:line="320" w:lineRule="exact"/>
              <w:ind w:left="0" w:leftChars="0" w:firstLine="0" w:firstLineChars="0"/>
              <w:textAlignment w:val="auto"/>
              <w:rPr>
                <w:rFonts w:hint="eastAsia" w:ascii="宋体" w:hAnsi="Times New Roman" w:eastAsia="宋体" w:cs="Times New Roman"/>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2、服务质量控制措施:质量控制制度完善内容齐全、合理优得 10分，良得7分，差得4，未提供不得分;3、组织与协调工作:措施具体可行，合理、有保证优得5分</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良得3分，差得2，未提供不得分。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eastAsia" w:ascii="Calibri" w:hAnsi="Calibri" w:eastAsia="宋体" w:cs="Times New Roman"/>
                <w:sz w:val="24"/>
                <w:szCs w:val="24"/>
                <w:highlight w:val="none"/>
                <w:lang w:val="en-US" w:eastAsia="zh-Hans" w:bidi="ar-SA"/>
              </w:rPr>
            </w:pPr>
          </w:p>
        </w:tc>
      </w:tr>
      <w:tr>
        <w:tblPrEx>
          <w:tblLayout w:type="fixed"/>
          <w:tblCellMar>
            <w:top w:w="15" w:type="dxa"/>
            <w:left w:w="15" w:type="dxa"/>
            <w:bottom w:w="15" w:type="dxa"/>
            <w:right w:w="15" w:type="dxa"/>
          </w:tblCellMar>
        </w:tblPrEx>
        <w:trPr>
          <w:cantSplit/>
          <w:trHeight w:val="1082"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default" w:ascii="Calibri" w:hAnsi="Calibri" w:eastAsia="宋体" w:cs="Times New Roman"/>
                <w:sz w:val="24"/>
                <w:szCs w:val="24"/>
                <w:highlight w:val="none"/>
                <w:lang w:val="en-US" w:eastAsia="zh-CN"/>
              </w:rPr>
            </w:pPr>
            <w:r>
              <w:rPr>
                <w:rFonts w:hint="eastAsia" w:ascii="Calibri" w:hAnsi="Calibri" w:eastAsia="宋体" w:cs="Times New Roman"/>
                <w:sz w:val="24"/>
                <w:szCs w:val="24"/>
                <w:highlight w:val="none"/>
                <w:lang w:val="en-US" w:eastAsia="zh-CN"/>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7"/>
              <w:keepNext w:val="0"/>
              <w:keepLines w:val="0"/>
              <w:pageBreakBefore w:val="0"/>
              <w:widowControl w:val="0"/>
              <w:kinsoku/>
              <w:wordWrap w:val="0"/>
              <w:overflowPunct/>
              <w:topLinePunct/>
              <w:autoSpaceDE/>
              <w:autoSpaceDN/>
              <w:bidi w:val="0"/>
              <w:adjustRightInd w:val="0"/>
              <w:snapToGrid w:val="0"/>
              <w:spacing w:after="0" w:line="320" w:lineRule="exact"/>
              <w:ind w:left="0" w:leftChars="0"/>
              <w:textAlignment w:val="auto"/>
              <w:rPr>
                <w:rFonts w:hint="default" w:ascii="Calibri" w:hAnsi="Calibri" w:eastAsia="宋体" w:cs="Times New Roman"/>
                <w:sz w:val="24"/>
                <w:szCs w:val="24"/>
                <w:highlight w:val="none"/>
                <w:lang w:val="en-US" w:eastAsia="zh-CN" w:bidi="ar-SA"/>
              </w:rPr>
            </w:pPr>
            <w:r>
              <w:rPr>
                <w:rFonts w:hint="eastAsia" w:ascii="Calibri" w:hAnsi="Calibri" w:eastAsia="宋体" w:cs="Times New Roman"/>
                <w:sz w:val="24"/>
                <w:szCs w:val="24"/>
                <w:highlight w:val="none"/>
                <w:lang w:val="en-US" w:eastAsia="zh-CN"/>
              </w:rPr>
              <w:t>技术人员配置</w:t>
            </w:r>
            <w:r>
              <w:rPr>
                <w:rFonts w:hint="eastAsia" w:cs="Times New Roman"/>
                <w:sz w:val="24"/>
                <w:szCs w:val="24"/>
                <w:highlight w:val="none"/>
                <w:lang w:val="en-US" w:eastAsia="zh-CN"/>
              </w:rPr>
              <w:t>25</w:t>
            </w:r>
            <w:r>
              <w:rPr>
                <w:rFonts w:hint="eastAsia" w:ascii="Calibri" w:hAnsi="Calibri" w:eastAsia="宋体" w:cs="Times New Roman"/>
                <w:sz w:val="24"/>
                <w:szCs w:val="24"/>
                <w:highlight w:val="none"/>
                <w:lang w:val="en-US" w:eastAsia="zh-CN"/>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default" w:ascii="Calibri" w:hAnsi="Calibri" w:eastAsia="宋体" w:cs="Times New Roman"/>
                <w:sz w:val="24"/>
                <w:szCs w:val="24"/>
                <w:highlight w:val="none"/>
                <w:lang w:val="en-US" w:eastAsia="zh-CN" w:bidi="ar-SA"/>
              </w:rPr>
            </w:pPr>
            <w:r>
              <w:rPr>
                <w:rFonts w:hint="eastAsia" w:ascii="Calibri" w:hAnsi="Calibri" w:cs="Times New Roman"/>
                <w:sz w:val="24"/>
                <w:szCs w:val="24"/>
                <w:highlight w:val="none"/>
                <w:lang w:val="en-US" w:eastAsia="zh-CN"/>
              </w:rPr>
              <w:t>25</w:t>
            </w:r>
            <w:r>
              <w:rPr>
                <w:rFonts w:hint="eastAsia" w:ascii="Calibri" w:hAnsi="Calibri" w:eastAsia="宋体" w:cs="Times New Roman"/>
                <w:sz w:val="24"/>
                <w:szCs w:val="24"/>
                <w:highlight w:val="none"/>
                <w:lang w:val="en-US" w:eastAsia="zh-Hans"/>
              </w:rPr>
              <w:t>分</w:t>
            </w:r>
          </w:p>
        </w:tc>
        <w:tc>
          <w:tcPr>
            <w:tcW w:w="646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8"/>
              <w:keepNext w:val="0"/>
              <w:keepLines w:val="0"/>
              <w:pageBreakBefore w:val="0"/>
              <w:widowControl w:val="0"/>
              <w:numPr>
                <w:ilvl w:val="0"/>
                <w:numId w:val="1"/>
              </w:numPr>
              <w:tabs>
                <w:tab w:val="clear" w:pos="312"/>
              </w:tabs>
              <w:kinsoku/>
              <w:wordWrap w:val="0"/>
              <w:overflowPunct/>
              <w:topLinePunct/>
              <w:autoSpaceDE/>
              <w:autoSpaceDN/>
              <w:bidi w:val="0"/>
              <w:adjustRightInd w:val="0"/>
              <w:snapToGrid w:val="0"/>
              <w:spacing w:after="0" w:line="320" w:lineRule="exact"/>
              <w:ind w:left="0" w:leftChars="0"/>
              <w:textAlignment w:val="auto"/>
              <w:rPr>
                <w:rFonts w:hint="eastAsia" w:eastAsia="宋体"/>
                <w:sz w:val="24"/>
                <w:szCs w:val="24"/>
                <w:highlight w:val="none"/>
                <w:lang w:val="en-US" w:eastAsia="zh-CN"/>
              </w:rPr>
            </w:pPr>
            <w:r>
              <w:rPr>
                <w:rFonts w:hint="eastAsia" w:eastAsia="宋体"/>
                <w:sz w:val="24"/>
                <w:szCs w:val="24"/>
                <w:highlight w:val="none"/>
                <w:lang w:val="en-US" w:eastAsia="zh-CN"/>
              </w:rPr>
              <w:t>项目总负责人(1人)：具有一级注册造价工程师得</w:t>
            </w:r>
            <w:r>
              <w:rPr>
                <w:rFonts w:hint="eastAsia"/>
                <w:sz w:val="24"/>
                <w:szCs w:val="24"/>
                <w:highlight w:val="none"/>
                <w:lang w:val="en-US" w:eastAsia="zh-CN"/>
              </w:rPr>
              <w:t>6</w:t>
            </w:r>
            <w:r>
              <w:rPr>
                <w:rFonts w:hint="eastAsia" w:eastAsia="宋体"/>
                <w:sz w:val="24"/>
                <w:szCs w:val="24"/>
                <w:highlight w:val="none"/>
                <w:lang w:val="en-US" w:eastAsia="zh-CN"/>
              </w:rPr>
              <w:t>分</w:t>
            </w:r>
          </w:p>
          <w:p>
            <w:pPr>
              <w:pStyle w:val="8"/>
              <w:keepNext w:val="0"/>
              <w:keepLines w:val="0"/>
              <w:pageBreakBefore w:val="0"/>
              <w:widowControl w:val="0"/>
              <w:numPr>
                <w:ilvl w:val="0"/>
                <w:numId w:val="1"/>
              </w:numPr>
              <w:tabs>
                <w:tab w:val="clear" w:pos="312"/>
              </w:tabs>
              <w:kinsoku/>
              <w:wordWrap w:val="0"/>
              <w:overflowPunct/>
              <w:topLinePunct/>
              <w:autoSpaceDE/>
              <w:autoSpaceDN/>
              <w:bidi w:val="0"/>
              <w:adjustRightInd w:val="0"/>
              <w:snapToGrid w:val="0"/>
              <w:spacing w:after="0" w:line="320" w:lineRule="exact"/>
              <w:ind w:left="0" w:leftChars="0" w:firstLine="0" w:firstLineChars="0"/>
              <w:textAlignment w:val="auto"/>
              <w:rPr>
                <w:rFonts w:hint="eastAsia" w:eastAsia="宋体"/>
                <w:sz w:val="24"/>
                <w:szCs w:val="24"/>
                <w:highlight w:val="none"/>
                <w:lang w:val="en-US" w:eastAsia="zh-CN"/>
              </w:rPr>
            </w:pPr>
            <w:r>
              <w:rPr>
                <w:rFonts w:hint="eastAsia"/>
                <w:sz w:val="24"/>
                <w:szCs w:val="24"/>
                <w:highlight w:val="none"/>
                <w:lang w:val="en-US" w:eastAsia="zh-CN"/>
              </w:rPr>
              <w:t>土建</w:t>
            </w:r>
            <w:r>
              <w:rPr>
                <w:rFonts w:hint="eastAsia" w:eastAsia="宋体"/>
                <w:sz w:val="24"/>
                <w:szCs w:val="24"/>
                <w:highlight w:val="none"/>
                <w:lang w:val="en-US" w:eastAsia="zh-CN"/>
              </w:rPr>
              <w:t>负责人(1人)：具有一级造价工程师的得</w:t>
            </w:r>
            <w:r>
              <w:rPr>
                <w:rFonts w:hint="eastAsia"/>
                <w:sz w:val="24"/>
                <w:szCs w:val="24"/>
                <w:highlight w:val="none"/>
                <w:lang w:val="en-US" w:eastAsia="zh-CN"/>
              </w:rPr>
              <w:t>6</w:t>
            </w:r>
            <w:r>
              <w:rPr>
                <w:rFonts w:hint="eastAsia" w:eastAsia="宋体"/>
                <w:sz w:val="24"/>
                <w:szCs w:val="24"/>
                <w:highlight w:val="none"/>
                <w:lang w:val="en-US" w:eastAsia="zh-CN"/>
              </w:rPr>
              <w:t>分</w:t>
            </w:r>
          </w:p>
          <w:p>
            <w:pPr>
              <w:pStyle w:val="8"/>
              <w:keepNext w:val="0"/>
              <w:keepLines w:val="0"/>
              <w:pageBreakBefore w:val="0"/>
              <w:widowControl w:val="0"/>
              <w:numPr>
                <w:ilvl w:val="0"/>
                <w:numId w:val="1"/>
              </w:numPr>
              <w:tabs>
                <w:tab w:val="clear" w:pos="312"/>
              </w:tabs>
              <w:kinsoku/>
              <w:wordWrap w:val="0"/>
              <w:overflowPunct/>
              <w:topLinePunct/>
              <w:autoSpaceDE/>
              <w:autoSpaceDN/>
              <w:bidi w:val="0"/>
              <w:adjustRightInd w:val="0"/>
              <w:snapToGrid w:val="0"/>
              <w:spacing w:after="0" w:line="320" w:lineRule="exact"/>
              <w:ind w:left="0" w:leftChars="0" w:firstLine="0" w:firstLineChars="0"/>
              <w:textAlignment w:val="auto"/>
              <w:rPr>
                <w:rFonts w:hint="eastAsia" w:eastAsia="宋体"/>
                <w:sz w:val="24"/>
                <w:szCs w:val="24"/>
                <w:highlight w:val="none"/>
                <w:lang w:val="en-US" w:eastAsia="zh-CN"/>
              </w:rPr>
            </w:pPr>
            <w:r>
              <w:rPr>
                <w:rFonts w:hint="eastAsia"/>
                <w:sz w:val="24"/>
                <w:szCs w:val="24"/>
                <w:highlight w:val="none"/>
                <w:lang w:val="en-US" w:eastAsia="zh-CN"/>
              </w:rPr>
              <w:t>安装负责人</w:t>
            </w:r>
            <w:r>
              <w:rPr>
                <w:rFonts w:hint="eastAsia" w:eastAsia="宋体"/>
                <w:sz w:val="24"/>
                <w:szCs w:val="24"/>
                <w:highlight w:val="none"/>
                <w:lang w:val="en-US" w:eastAsia="zh-CN"/>
              </w:rPr>
              <w:t>(1人)：具有一级造价工程师的得</w:t>
            </w:r>
            <w:r>
              <w:rPr>
                <w:rFonts w:hint="eastAsia"/>
                <w:sz w:val="24"/>
                <w:szCs w:val="24"/>
                <w:highlight w:val="none"/>
                <w:lang w:val="en-US" w:eastAsia="zh-CN"/>
              </w:rPr>
              <w:t>6</w:t>
            </w:r>
            <w:r>
              <w:rPr>
                <w:rFonts w:hint="eastAsia" w:eastAsia="宋体"/>
                <w:sz w:val="24"/>
                <w:szCs w:val="24"/>
                <w:highlight w:val="none"/>
                <w:lang w:val="en-US" w:eastAsia="zh-CN"/>
              </w:rPr>
              <w:t>分</w:t>
            </w:r>
          </w:p>
          <w:p>
            <w:pPr>
              <w:pStyle w:val="8"/>
              <w:keepNext w:val="0"/>
              <w:keepLines w:val="0"/>
              <w:pageBreakBefore w:val="0"/>
              <w:widowControl w:val="0"/>
              <w:numPr>
                <w:ilvl w:val="0"/>
                <w:numId w:val="1"/>
              </w:numPr>
              <w:tabs>
                <w:tab w:val="clear" w:pos="312"/>
              </w:tabs>
              <w:kinsoku/>
              <w:wordWrap w:val="0"/>
              <w:overflowPunct/>
              <w:topLinePunct/>
              <w:autoSpaceDE/>
              <w:autoSpaceDN/>
              <w:bidi w:val="0"/>
              <w:adjustRightInd w:val="0"/>
              <w:snapToGrid w:val="0"/>
              <w:spacing w:after="0" w:line="320" w:lineRule="exact"/>
              <w:ind w:left="0" w:leftChars="0" w:firstLine="0" w:firstLineChars="0"/>
              <w:textAlignment w:val="auto"/>
              <w:rPr>
                <w:rFonts w:hint="eastAsia" w:eastAsia="宋体"/>
                <w:sz w:val="24"/>
                <w:szCs w:val="24"/>
                <w:highlight w:val="none"/>
                <w:lang w:val="en-US" w:eastAsia="zh-CN"/>
              </w:rPr>
            </w:pPr>
            <w:r>
              <w:rPr>
                <w:rFonts w:hint="eastAsia" w:eastAsia="宋体"/>
                <w:sz w:val="24"/>
                <w:szCs w:val="24"/>
                <w:highlight w:val="none"/>
                <w:lang w:val="en-US" w:eastAsia="zh-CN"/>
              </w:rPr>
              <w:t>其他团队成员(项目总负责人、土建负责人、安装负责人除外)：投标人拟投入本项目的其他团队人员具有</w:t>
            </w:r>
            <w:r>
              <w:rPr>
                <w:rFonts w:hint="eastAsia"/>
                <w:sz w:val="24"/>
                <w:szCs w:val="24"/>
                <w:highlight w:val="none"/>
                <w:lang w:val="en-US" w:eastAsia="zh-CN"/>
              </w:rPr>
              <w:t>二</w:t>
            </w:r>
            <w:r>
              <w:rPr>
                <w:rFonts w:hint="eastAsia" w:eastAsia="宋体"/>
                <w:sz w:val="24"/>
                <w:szCs w:val="24"/>
                <w:highlight w:val="none"/>
                <w:lang w:val="en-US" w:eastAsia="zh-CN"/>
              </w:rPr>
              <w:t>级造价工程师注册证书的，每提供1人得</w:t>
            </w:r>
            <w:r>
              <w:rPr>
                <w:rFonts w:hint="eastAsia"/>
                <w:sz w:val="24"/>
                <w:szCs w:val="24"/>
                <w:highlight w:val="none"/>
                <w:lang w:val="en-US" w:eastAsia="zh-CN"/>
              </w:rPr>
              <w:t>3.5</w:t>
            </w:r>
            <w:r>
              <w:rPr>
                <w:rFonts w:hint="eastAsia" w:eastAsia="宋体"/>
                <w:sz w:val="24"/>
                <w:szCs w:val="24"/>
                <w:highlight w:val="none"/>
                <w:lang w:val="en-US" w:eastAsia="zh-CN"/>
              </w:rPr>
              <w:t>分，本项最多得</w:t>
            </w:r>
            <w:r>
              <w:rPr>
                <w:rFonts w:hint="eastAsia"/>
                <w:sz w:val="24"/>
                <w:szCs w:val="24"/>
                <w:highlight w:val="none"/>
                <w:lang w:val="en-US" w:eastAsia="zh-CN"/>
              </w:rPr>
              <w:t>7</w:t>
            </w:r>
            <w:r>
              <w:rPr>
                <w:rFonts w:hint="eastAsia" w:eastAsia="宋体"/>
                <w:sz w:val="24"/>
                <w:szCs w:val="24"/>
                <w:highlight w:val="none"/>
                <w:lang w:val="en-US" w:eastAsia="zh-CN"/>
              </w:rPr>
              <w:t>分。</w:t>
            </w:r>
          </w:p>
          <w:p>
            <w:pPr>
              <w:pStyle w:val="8"/>
              <w:keepNext w:val="0"/>
              <w:keepLines w:val="0"/>
              <w:pageBreakBefore w:val="0"/>
              <w:widowControl w:val="0"/>
              <w:kinsoku/>
              <w:wordWrap w:val="0"/>
              <w:overflowPunct/>
              <w:topLinePunct/>
              <w:autoSpaceDE/>
              <w:autoSpaceDN/>
              <w:bidi w:val="0"/>
              <w:adjustRightInd w:val="0"/>
              <w:snapToGrid w:val="0"/>
              <w:spacing w:after="0" w:line="320" w:lineRule="exact"/>
              <w:ind w:left="0" w:leftChars="0"/>
              <w:textAlignment w:val="auto"/>
              <w:rPr>
                <w:rFonts w:hint="eastAsia" w:ascii="宋体" w:hAnsi="Times New Roman" w:eastAsia="宋体" w:cs="Times New Roman"/>
                <w:snapToGrid w:val="0"/>
                <w:sz w:val="24"/>
                <w:szCs w:val="24"/>
                <w:highlight w:val="none"/>
                <w:lang w:val="en-US" w:eastAsia="zh-CN" w:bidi="ar-SA"/>
              </w:rPr>
            </w:pPr>
            <w:r>
              <w:rPr>
                <w:rFonts w:hint="eastAsia" w:eastAsia="宋体"/>
                <w:sz w:val="24"/>
                <w:szCs w:val="24"/>
                <w:highlight w:val="none"/>
                <w:lang w:val="en-US" w:eastAsia="zh-CN"/>
              </w:rPr>
              <w:t>注：①以上人员不得重复加分；②须提供人员注册证书复印件、四库一平台查询截图</w:t>
            </w:r>
            <w:r>
              <w:rPr>
                <w:rFonts w:hint="eastAsia" w:eastAsia="宋体"/>
                <w:sz w:val="24"/>
                <w:szCs w:val="24"/>
                <w:highlight w:val="none"/>
              </w:rPr>
              <w:t>（该截图须显示人员姓名、证件号码、注册单位</w:t>
            </w:r>
            <w:r>
              <w:rPr>
                <w:rFonts w:hint="eastAsia" w:eastAsia="宋体"/>
                <w:sz w:val="24"/>
                <w:szCs w:val="24"/>
                <w:highlight w:val="none"/>
                <w:lang w:val="en-US" w:eastAsia="zh-CN"/>
              </w:rPr>
              <w:t>为供应商单位</w:t>
            </w:r>
            <w:r>
              <w:rPr>
                <w:rFonts w:hint="eastAsia" w:eastAsia="宋体"/>
                <w:sz w:val="24"/>
                <w:szCs w:val="24"/>
                <w:highlight w:val="none"/>
              </w:rPr>
              <w:t>、执业注册信息等相关内容）</w:t>
            </w:r>
            <w:r>
              <w:rPr>
                <w:rFonts w:hint="eastAsia" w:eastAsia="宋体"/>
                <w:sz w:val="24"/>
                <w:szCs w:val="24"/>
                <w:highlight w:val="none"/>
                <w:lang w:eastAsia="zh-CN"/>
              </w:rPr>
              <w:t>；</w:t>
            </w:r>
            <w:r>
              <w:rPr>
                <w:rFonts w:hint="eastAsia"/>
                <w:sz w:val="24"/>
                <w:szCs w:val="24"/>
                <w:highlight w:val="none"/>
                <w:lang w:val="en-US" w:eastAsia="zh-CN"/>
              </w:rPr>
              <w:t>③</w:t>
            </w:r>
            <w:r>
              <w:rPr>
                <w:rFonts w:hint="eastAsia" w:eastAsia="宋体"/>
                <w:sz w:val="24"/>
                <w:szCs w:val="24"/>
                <w:highlight w:val="none"/>
                <w:lang w:val="en-US" w:eastAsia="zh-CN"/>
              </w:rPr>
              <w:t>以上</w:t>
            </w:r>
            <w:r>
              <w:rPr>
                <w:rFonts w:hint="eastAsia" w:eastAsia="宋体"/>
                <w:sz w:val="24"/>
                <w:szCs w:val="24"/>
                <w:highlight w:val="none"/>
              </w:rPr>
              <w:t>人员</w:t>
            </w:r>
            <w:r>
              <w:rPr>
                <w:rFonts w:hint="eastAsia" w:eastAsia="宋体"/>
                <w:sz w:val="24"/>
                <w:szCs w:val="24"/>
                <w:highlight w:val="none"/>
                <w:lang w:val="en-US" w:eastAsia="zh-CN"/>
              </w:rPr>
              <w:t>均须提供</w:t>
            </w:r>
            <w:r>
              <w:rPr>
                <w:rFonts w:hint="eastAsia" w:eastAsia="宋体"/>
                <w:sz w:val="24"/>
                <w:szCs w:val="24"/>
                <w:highlight w:val="none"/>
              </w:rPr>
              <w:t>在职证明</w:t>
            </w:r>
            <w:r>
              <w:rPr>
                <w:rFonts w:hint="eastAsia" w:eastAsia="宋体"/>
                <w:sz w:val="24"/>
                <w:szCs w:val="24"/>
                <w:highlight w:val="none"/>
                <w:lang w:eastAsia="zh-CN"/>
              </w:rPr>
              <w:t>；</w:t>
            </w:r>
            <w:r>
              <w:rPr>
                <w:rFonts w:hint="eastAsia"/>
                <w:sz w:val="24"/>
                <w:szCs w:val="24"/>
                <w:highlight w:val="none"/>
                <w:lang w:val="en-US" w:eastAsia="zh-CN"/>
              </w:rPr>
              <w:t>④</w:t>
            </w:r>
            <w:r>
              <w:rPr>
                <w:rFonts w:hint="eastAsia" w:eastAsia="宋体"/>
                <w:sz w:val="24"/>
                <w:szCs w:val="24"/>
                <w:highlight w:val="none"/>
                <w:lang w:val="en-US" w:eastAsia="zh-CN"/>
              </w:rPr>
              <w:t>未按要求提供佐证材料的人员不得对应分值</w:t>
            </w:r>
            <w:r>
              <w:rPr>
                <w:rFonts w:hint="eastAsia" w:eastAsia="宋体"/>
                <w:sz w:val="24"/>
                <w:szCs w:val="24"/>
                <w:highlight w:val="none"/>
              </w:rPr>
              <w:t>。</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8"/>
              <w:keepNext w:val="0"/>
              <w:keepLines w:val="0"/>
              <w:pageBreakBefore w:val="0"/>
              <w:widowControl w:val="0"/>
              <w:kinsoku/>
              <w:wordWrap w:val="0"/>
              <w:overflowPunct/>
              <w:topLinePunct/>
              <w:autoSpaceDE/>
              <w:autoSpaceDN/>
              <w:bidi w:val="0"/>
              <w:adjustRightInd w:val="0"/>
              <w:snapToGrid w:val="0"/>
              <w:spacing w:after="0" w:line="320" w:lineRule="exact"/>
              <w:ind w:left="0" w:leftChars="0"/>
              <w:textAlignment w:val="auto"/>
              <w:rPr>
                <w:rFonts w:hint="eastAsia" w:ascii="Calibri" w:hAnsi="Calibri" w:eastAsia="宋体" w:cs="Times New Roman"/>
                <w:snapToGrid w:val="0"/>
                <w:sz w:val="24"/>
                <w:szCs w:val="24"/>
                <w:highlight w:val="none"/>
                <w:lang w:val="en-US" w:eastAsia="zh-CN" w:bidi="ar-SA"/>
              </w:rPr>
            </w:pPr>
          </w:p>
        </w:tc>
      </w:tr>
      <w:tr>
        <w:tblPrEx>
          <w:tblLayout w:type="fixed"/>
          <w:tblCellMar>
            <w:top w:w="15" w:type="dxa"/>
            <w:left w:w="15" w:type="dxa"/>
            <w:bottom w:w="15" w:type="dxa"/>
            <w:right w:w="15" w:type="dxa"/>
          </w:tblCellMar>
        </w:tblPrEx>
        <w:trPr>
          <w:cantSplit/>
          <w:trHeight w:val="1082"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default" w:ascii="Calibri" w:hAnsi="Calibri" w:eastAsia="宋体" w:cs="Times New Roman"/>
                <w:sz w:val="24"/>
                <w:szCs w:val="24"/>
                <w:highlight w:val="none"/>
                <w:lang w:val="en-US" w:eastAsia="zh-CN"/>
              </w:rPr>
            </w:pPr>
            <w:r>
              <w:rPr>
                <w:rFonts w:hint="eastAsia" w:ascii="Calibri" w:hAnsi="Calibri" w:cs="Times New Roman"/>
                <w:sz w:val="24"/>
                <w:szCs w:val="24"/>
                <w:highlight w:val="none"/>
                <w:lang w:val="en-US" w:eastAsia="zh-CN"/>
              </w:rPr>
              <w:t>4</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7"/>
              <w:keepNext w:val="0"/>
              <w:keepLines w:val="0"/>
              <w:pageBreakBefore w:val="0"/>
              <w:widowControl w:val="0"/>
              <w:kinsoku/>
              <w:wordWrap w:val="0"/>
              <w:overflowPunct/>
              <w:topLinePunct/>
              <w:autoSpaceDE/>
              <w:autoSpaceDN/>
              <w:bidi w:val="0"/>
              <w:adjustRightInd w:val="0"/>
              <w:snapToGrid w:val="0"/>
              <w:spacing w:after="0" w:line="320" w:lineRule="exact"/>
              <w:ind w:left="0" w:leftChars="0"/>
              <w:textAlignment w:val="auto"/>
              <w:rPr>
                <w:rFonts w:hint="eastAsia" w:ascii="Calibri" w:hAnsi="Calibri" w:eastAsia="宋体" w:cs="Times New Roman"/>
                <w:sz w:val="24"/>
                <w:szCs w:val="24"/>
                <w:highlight w:val="none"/>
                <w:lang w:val="en-US" w:eastAsia="zh-CN"/>
              </w:rPr>
            </w:pPr>
            <w:r>
              <w:rPr>
                <w:rFonts w:hint="eastAsia" w:ascii="Calibri" w:hAnsi="Calibri" w:eastAsia="宋体" w:cs="Times New Roman"/>
                <w:sz w:val="24"/>
                <w:szCs w:val="24"/>
                <w:highlight w:val="none"/>
                <w:lang w:val="en-US" w:eastAsia="zh-CN"/>
              </w:rPr>
              <w:t>履约经验</w:t>
            </w:r>
          </w:p>
          <w:p>
            <w:pPr>
              <w:pStyle w:val="7"/>
              <w:keepNext w:val="0"/>
              <w:keepLines w:val="0"/>
              <w:pageBreakBefore w:val="0"/>
              <w:widowControl w:val="0"/>
              <w:kinsoku/>
              <w:wordWrap w:val="0"/>
              <w:overflowPunct/>
              <w:topLinePunct/>
              <w:autoSpaceDE/>
              <w:autoSpaceDN/>
              <w:bidi w:val="0"/>
              <w:adjustRightInd w:val="0"/>
              <w:snapToGrid w:val="0"/>
              <w:spacing w:after="0" w:line="320" w:lineRule="exact"/>
              <w:ind w:left="0" w:leftChars="0"/>
              <w:textAlignment w:val="auto"/>
              <w:rPr>
                <w:rFonts w:hint="default" w:ascii="Calibri" w:hAnsi="Calibri" w:eastAsia="宋体" w:cs="Times New Roman"/>
                <w:sz w:val="24"/>
                <w:szCs w:val="24"/>
                <w:highlight w:val="none"/>
                <w:lang w:val="en-US" w:eastAsia="zh-CN" w:bidi="ar-SA"/>
              </w:rPr>
            </w:pPr>
            <w:r>
              <w:rPr>
                <w:rFonts w:hint="eastAsia" w:cs="Times New Roman"/>
                <w:sz w:val="24"/>
                <w:szCs w:val="24"/>
                <w:highlight w:val="none"/>
                <w:lang w:val="en-US" w:eastAsia="zh-CN"/>
              </w:rPr>
              <w:t>20</w:t>
            </w:r>
            <w:r>
              <w:rPr>
                <w:rFonts w:hint="eastAsia" w:ascii="Calibri" w:hAnsi="Calibri" w:eastAsia="宋体" w:cs="Times New Roman"/>
                <w:sz w:val="24"/>
                <w:szCs w:val="24"/>
                <w:highlight w:val="none"/>
                <w:lang w:val="en-US" w:eastAsia="zh-CN"/>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8"/>
              <w:keepNext w:val="0"/>
              <w:keepLines w:val="0"/>
              <w:pageBreakBefore w:val="0"/>
              <w:widowControl w:val="0"/>
              <w:kinsoku/>
              <w:wordWrap w:val="0"/>
              <w:overflowPunct/>
              <w:topLinePunct/>
              <w:autoSpaceDE/>
              <w:autoSpaceDN/>
              <w:bidi w:val="0"/>
              <w:adjustRightInd w:val="0"/>
              <w:snapToGrid w:val="0"/>
              <w:spacing w:after="0" w:line="320" w:lineRule="exact"/>
              <w:ind w:left="0" w:leftChars="0"/>
              <w:textAlignment w:val="auto"/>
              <w:rPr>
                <w:rFonts w:hint="default" w:ascii="Calibri" w:hAnsi="Calibri" w:eastAsia="宋体" w:cs="Times New Roman"/>
                <w:snapToGrid w:val="0"/>
                <w:sz w:val="24"/>
                <w:szCs w:val="24"/>
                <w:highlight w:val="none"/>
                <w:lang w:val="en-US" w:eastAsia="zh-CN" w:bidi="ar-SA"/>
              </w:rPr>
            </w:pPr>
            <w:r>
              <w:rPr>
                <w:rFonts w:hint="eastAsia" w:ascii="Calibri" w:hAnsi="Calibri" w:cs="Times New Roman"/>
                <w:sz w:val="24"/>
                <w:szCs w:val="24"/>
                <w:highlight w:val="none"/>
                <w:lang w:val="en-US" w:eastAsia="zh-CN"/>
              </w:rPr>
              <w:t>20</w:t>
            </w:r>
            <w:r>
              <w:rPr>
                <w:rFonts w:hint="eastAsia" w:ascii="Calibri" w:hAnsi="Calibri" w:eastAsia="宋体" w:cs="Times New Roman"/>
                <w:sz w:val="24"/>
                <w:szCs w:val="24"/>
                <w:highlight w:val="none"/>
                <w:lang w:val="en-US" w:eastAsia="zh-CN"/>
              </w:rPr>
              <w:t>分</w:t>
            </w:r>
          </w:p>
        </w:tc>
        <w:tc>
          <w:tcPr>
            <w:tcW w:w="64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8"/>
              <w:keepNext w:val="0"/>
              <w:keepLines w:val="0"/>
              <w:pageBreakBefore w:val="0"/>
              <w:widowControl w:val="0"/>
              <w:kinsoku/>
              <w:wordWrap w:val="0"/>
              <w:overflowPunct/>
              <w:topLinePunct/>
              <w:autoSpaceDE/>
              <w:autoSpaceDN/>
              <w:bidi w:val="0"/>
              <w:adjustRightInd w:val="0"/>
              <w:snapToGrid w:val="0"/>
              <w:spacing w:after="0" w:line="320" w:lineRule="exact"/>
              <w:ind w:left="0" w:leftChars="0"/>
              <w:textAlignment w:val="auto"/>
              <w:rPr>
                <w:rFonts w:eastAsia="宋体"/>
                <w:sz w:val="24"/>
                <w:szCs w:val="24"/>
                <w:highlight w:val="none"/>
              </w:rPr>
            </w:pPr>
            <w:r>
              <w:rPr>
                <w:rFonts w:eastAsia="宋体"/>
                <w:sz w:val="24"/>
                <w:szCs w:val="24"/>
                <w:highlight w:val="none"/>
              </w:rPr>
              <w:t>供应商</w:t>
            </w:r>
            <w:r>
              <w:rPr>
                <w:rFonts w:hint="eastAsia"/>
                <w:sz w:val="24"/>
                <w:szCs w:val="24"/>
                <w:highlight w:val="none"/>
                <w:lang w:val="en-US" w:eastAsia="zh-CN"/>
              </w:rPr>
              <w:t>近三年</w:t>
            </w:r>
            <w:r>
              <w:rPr>
                <w:rFonts w:eastAsia="宋体"/>
                <w:sz w:val="24"/>
                <w:szCs w:val="24"/>
                <w:highlight w:val="none"/>
              </w:rPr>
              <w:t>每具有1个</w:t>
            </w:r>
            <w:r>
              <w:rPr>
                <w:rFonts w:hint="eastAsia"/>
                <w:sz w:val="24"/>
                <w:szCs w:val="24"/>
                <w:highlight w:val="none"/>
                <w:lang w:val="en-US" w:eastAsia="zh-CN"/>
              </w:rPr>
              <w:t>工程量清单编制</w:t>
            </w:r>
            <w:r>
              <w:rPr>
                <w:rFonts w:eastAsia="宋体"/>
                <w:sz w:val="24"/>
                <w:szCs w:val="24"/>
                <w:highlight w:val="none"/>
              </w:rPr>
              <w:t>业绩得</w:t>
            </w:r>
            <w:r>
              <w:rPr>
                <w:rFonts w:hint="eastAsia"/>
                <w:sz w:val="24"/>
                <w:szCs w:val="24"/>
                <w:highlight w:val="none"/>
                <w:lang w:val="en-US" w:eastAsia="zh-CN"/>
              </w:rPr>
              <w:t>5</w:t>
            </w:r>
            <w:r>
              <w:rPr>
                <w:rFonts w:eastAsia="宋体"/>
                <w:sz w:val="24"/>
                <w:szCs w:val="24"/>
                <w:highlight w:val="none"/>
              </w:rPr>
              <w:t>分，最高得</w:t>
            </w:r>
            <w:r>
              <w:rPr>
                <w:rFonts w:hint="eastAsia"/>
                <w:sz w:val="24"/>
                <w:szCs w:val="24"/>
                <w:highlight w:val="none"/>
                <w:lang w:val="en-US" w:eastAsia="zh-CN"/>
              </w:rPr>
              <w:t>20</w:t>
            </w:r>
            <w:r>
              <w:rPr>
                <w:rFonts w:eastAsia="宋体"/>
                <w:sz w:val="24"/>
                <w:szCs w:val="24"/>
                <w:highlight w:val="none"/>
              </w:rPr>
              <w:t xml:space="preserve">分。提供合同或协议复印件。 </w:t>
            </w:r>
          </w:p>
          <w:p>
            <w:pPr>
              <w:pStyle w:val="8"/>
              <w:keepNext w:val="0"/>
              <w:keepLines w:val="0"/>
              <w:pageBreakBefore w:val="0"/>
              <w:widowControl w:val="0"/>
              <w:kinsoku/>
              <w:wordWrap w:val="0"/>
              <w:overflowPunct/>
              <w:topLinePunct/>
              <w:autoSpaceDE/>
              <w:autoSpaceDN/>
              <w:bidi w:val="0"/>
              <w:adjustRightInd w:val="0"/>
              <w:snapToGrid w:val="0"/>
              <w:spacing w:after="0" w:line="320" w:lineRule="exact"/>
              <w:ind w:left="0" w:leftChars="0"/>
              <w:textAlignment w:val="auto"/>
              <w:rPr>
                <w:rFonts w:hint="eastAsia" w:ascii="宋体" w:hAnsi="Times New Roman" w:eastAsia="宋体" w:cs="Times New Roman"/>
                <w:snapToGrid w:val="0"/>
                <w:sz w:val="24"/>
                <w:szCs w:val="24"/>
                <w:highlight w:val="none"/>
                <w:lang w:val="en-US" w:eastAsia="zh-CN" w:bidi="ar-SA"/>
              </w:rPr>
            </w:pPr>
            <w:r>
              <w:rPr>
                <w:rFonts w:eastAsia="宋体"/>
                <w:sz w:val="24"/>
                <w:szCs w:val="24"/>
                <w:highlight w:val="none"/>
              </w:rPr>
              <w:t>注：</w:t>
            </w:r>
            <w:r>
              <w:rPr>
                <w:rFonts w:hint="eastAsia" w:eastAsia="宋体"/>
                <w:sz w:val="24"/>
                <w:szCs w:val="24"/>
                <w:highlight w:val="none"/>
                <w:lang w:val="en-US" w:eastAsia="zh-CN"/>
              </w:rPr>
              <w:t>1.</w:t>
            </w:r>
            <w:r>
              <w:rPr>
                <w:rFonts w:eastAsia="宋体"/>
                <w:sz w:val="24"/>
                <w:szCs w:val="24"/>
                <w:highlight w:val="none"/>
              </w:rPr>
              <w:t>提供与供应商名称一致的中标/成交通知书或者合同复印件加盖供应商鲜章</w:t>
            </w:r>
            <w:r>
              <w:rPr>
                <w:rFonts w:hint="eastAsia" w:eastAsia="宋体"/>
                <w:sz w:val="24"/>
                <w:szCs w:val="24"/>
                <w:highlight w:val="none"/>
                <w:lang w:eastAsia="zh-CN"/>
              </w:rPr>
              <w:t>。</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bidi w:val="0"/>
              <w:snapToGrid/>
              <w:spacing w:after="0" w:line="320" w:lineRule="exact"/>
              <w:ind w:left="0" w:leftChars="0"/>
              <w:jc w:val="center"/>
              <w:textAlignment w:val="auto"/>
              <w:rPr>
                <w:rFonts w:hint="eastAsia" w:ascii="Calibri" w:hAnsi="Calibri" w:eastAsia="宋体" w:cs="Times New Roman"/>
                <w:sz w:val="24"/>
                <w:szCs w:val="24"/>
                <w:highlight w:val="none"/>
                <w:lang w:val="en-US" w:eastAsia="zh-Hans" w:bidi="ar-SA"/>
              </w:rPr>
            </w:pPr>
          </w:p>
        </w:tc>
      </w:tr>
      <w:tr>
        <w:tblPrEx>
          <w:tblLayout w:type="fixed"/>
          <w:tblCellMar>
            <w:top w:w="15" w:type="dxa"/>
            <w:left w:w="15" w:type="dxa"/>
            <w:bottom w:w="15" w:type="dxa"/>
            <w:right w:w="15" w:type="dxa"/>
          </w:tblCellMar>
        </w:tblPrEx>
        <w:trPr>
          <w:cantSplit/>
          <w:trHeight w:val="1082"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bidi w:val="0"/>
              <w:snapToGrid/>
              <w:spacing w:line="320" w:lineRule="exact"/>
              <w:ind w:left="0" w:leftChars="0"/>
              <w:jc w:val="center"/>
              <w:textAlignment w:val="auto"/>
              <w:rPr>
                <w:rFonts w:hint="default" w:ascii="Calibri" w:hAnsi="Calibri" w:cs="Times New Roman"/>
                <w:sz w:val="24"/>
                <w:szCs w:val="24"/>
                <w:highlight w:val="none"/>
                <w:lang w:val="en-US" w:eastAsia="zh-CN"/>
              </w:rPr>
            </w:pPr>
            <w:r>
              <w:rPr>
                <w:rFonts w:hint="eastAsia" w:ascii="Calibri" w:hAnsi="Calibri" w:cs="Times New Roman"/>
                <w:sz w:val="24"/>
                <w:szCs w:val="24"/>
                <w:highlight w:val="none"/>
                <w:lang w:val="en-US" w:eastAsia="zh-CN"/>
              </w:rPr>
              <w:t>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7"/>
              <w:keepNext w:val="0"/>
              <w:keepLines w:val="0"/>
              <w:pageBreakBefore w:val="0"/>
              <w:widowControl w:val="0"/>
              <w:kinsoku/>
              <w:wordWrap w:val="0"/>
              <w:overflowPunct/>
              <w:topLinePunct/>
              <w:autoSpaceDE/>
              <w:autoSpaceDN/>
              <w:bidi w:val="0"/>
              <w:adjustRightInd w:val="0"/>
              <w:snapToGrid w:val="0"/>
              <w:spacing w:after="0" w:line="320" w:lineRule="exact"/>
              <w:ind w:left="0" w:leftChars="0"/>
              <w:textAlignment w:val="auto"/>
              <w:rPr>
                <w:rFonts w:hint="eastAsia" w:cs="Times New Roman"/>
                <w:sz w:val="24"/>
                <w:szCs w:val="24"/>
                <w:highlight w:val="none"/>
                <w:lang w:val="en-US" w:eastAsia="zh-CN"/>
              </w:rPr>
            </w:pPr>
            <w:r>
              <w:rPr>
                <w:rFonts w:hint="eastAsia" w:cs="Times New Roman"/>
                <w:sz w:val="24"/>
                <w:szCs w:val="24"/>
                <w:highlight w:val="none"/>
                <w:lang w:val="en-US" w:eastAsia="zh-CN"/>
              </w:rPr>
              <w:t>服务地点</w:t>
            </w:r>
          </w:p>
          <w:p>
            <w:pPr>
              <w:pStyle w:val="7"/>
              <w:keepNext w:val="0"/>
              <w:keepLines w:val="0"/>
              <w:pageBreakBefore w:val="0"/>
              <w:widowControl w:val="0"/>
              <w:kinsoku/>
              <w:wordWrap w:val="0"/>
              <w:overflowPunct/>
              <w:topLinePunct/>
              <w:autoSpaceDE/>
              <w:autoSpaceDN/>
              <w:bidi w:val="0"/>
              <w:adjustRightInd w:val="0"/>
              <w:snapToGrid w:val="0"/>
              <w:spacing w:after="0" w:line="320" w:lineRule="exact"/>
              <w:ind w:left="0" w:leftChars="0"/>
              <w:textAlignment w:val="auto"/>
              <w:rPr>
                <w:rFonts w:hint="eastAsia" w:ascii="宋体" w:hAnsi="Times New Roman" w:eastAsia="宋体" w:cs="Times New Roman"/>
                <w:sz w:val="24"/>
                <w:szCs w:val="24"/>
                <w:highlight w:val="none"/>
                <w:lang w:val="en-US" w:eastAsia="zh-CN" w:bidi="ar-SA"/>
              </w:rPr>
            </w:pPr>
            <w:r>
              <w:rPr>
                <w:rFonts w:hint="eastAsia" w:cs="Times New Roman"/>
                <w:sz w:val="24"/>
                <w:szCs w:val="24"/>
                <w:highlight w:val="none"/>
                <w:lang w:val="en-US" w:eastAsia="zh-CN"/>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8"/>
              <w:keepNext w:val="0"/>
              <w:keepLines w:val="0"/>
              <w:pageBreakBefore w:val="0"/>
              <w:widowControl w:val="0"/>
              <w:kinsoku/>
              <w:wordWrap w:val="0"/>
              <w:overflowPunct/>
              <w:topLinePunct/>
              <w:autoSpaceDE/>
              <w:autoSpaceDN/>
              <w:bidi w:val="0"/>
              <w:adjustRightInd w:val="0"/>
              <w:snapToGrid w:val="0"/>
              <w:spacing w:after="0" w:line="320" w:lineRule="exact"/>
              <w:ind w:left="0" w:leftChars="0"/>
              <w:textAlignment w:val="auto"/>
              <w:rPr>
                <w:rFonts w:hint="eastAsia" w:ascii="Calibri" w:hAnsi="Calibri" w:eastAsia="宋体" w:cs="Times New Roman"/>
                <w:snapToGrid w:val="0"/>
                <w:sz w:val="24"/>
                <w:szCs w:val="24"/>
                <w:highlight w:val="none"/>
                <w:lang w:val="en-US" w:eastAsia="zh-CN" w:bidi="ar-SA"/>
              </w:rPr>
            </w:pPr>
            <w:r>
              <w:rPr>
                <w:rFonts w:hint="eastAsia" w:ascii="Calibri" w:hAnsi="Calibri" w:cs="Times New Roman"/>
                <w:sz w:val="24"/>
                <w:szCs w:val="24"/>
                <w:highlight w:val="none"/>
                <w:lang w:val="en-US" w:eastAsia="zh-CN"/>
              </w:rPr>
              <w:t>10分</w:t>
            </w:r>
          </w:p>
        </w:tc>
        <w:tc>
          <w:tcPr>
            <w:tcW w:w="64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8"/>
              <w:keepNext w:val="0"/>
              <w:keepLines w:val="0"/>
              <w:pageBreakBefore w:val="0"/>
              <w:widowControl w:val="0"/>
              <w:kinsoku/>
              <w:wordWrap w:val="0"/>
              <w:overflowPunct/>
              <w:topLinePunct/>
              <w:autoSpaceDE/>
              <w:autoSpaceDN/>
              <w:bidi w:val="0"/>
              <w:adjustRightInd w:val="0"/>
              <w:snapToGrid w:val="0"/>
              <w:spacing w:after="0" w:line="320" w:lineRule="exact"/>
              <w:ind w:left="0" w:leftChars="0"/>
              <w:textAlignment w:val="auto"/>
              <w:rPr>
                <w:rFonts w:hint="eastAsia" w:eastAsia="宋体"/>
                <w:sz w:val="24"/>
                <w:szCs w:val="24"/>
                <w:highlight w:val="none"/>
              </w:rPr>
            </w:pPr>
            <w:r>
              <w:rPr>
                <w:rFonts w:hint="eastAsia" w:eastAsia="宋体"/>
                <w:sz w:val="24"/>
                <w:szCs w:val="24"/>
                <w:highlight w:val="none"/>
              </w:rPr>
              <w:t>公司承诺在大邑具有或中标后在大邑县设立服务地点。在接到采购人通知后30分钟内响应且在1个小时内到现场处理。</w:t>
            </w:r>
          </w:p>
          <w:p>
            <w:pPr>
              <w:pStyle w:val="8"/>
              <w:keepNext w:val="0"/>
              <w:keepLines w:val="0"/>
              <w:pageBreakBefore w:val="0"/>
              <w:widowControl w:val="0"/>
              <w:kinsoku/>
              <w:wordWrap w:val="0"/>
              <w:overflowPunct/>
              <w:topLinePunct/>
              <w:autoSpaceDE/>
              <w:autoSpaceDN/>
              <w:bidi w:val="0"/>
              <w:adjustRightInd w:val="0"/>
              <w:snapToGrid w:val="0"/>
              <w:spacing w:after="0" w:line="320" w:lineRule="exact"/>
              <w:ind w:left="0" w:leftChars="0"/>
              <w:textAlignment w:val="auto"/>
              <w:rPr>
                <w:rFonts w:hint="eastAsia" w:ascii="宋体" w:hAnsi="Times New Roman" w:eastAsia="宋体" w:cs="Times New Roman"/>
                <w:snapToGrid w:val="0"/>
                <w:sz w:val="24"/>
                <w:szCs w:val="24"/>
                <w:highlight w:val="none"/>
                <w:lang w:val="en-US" w:eastAsia="zh-CN" w:bidi="ar-SA"/>
              </w:rPr>
            </w:pPr>
            <w:r>
              <w:rPr>
                <w:rFonts w:hint="eastAsia" w:eastAsia="宋体"/>
                <w:sz w:val="24"/>
                <w:szCs w:val="24"/>
                <w:highlight w:val="none"/>
              </w:rPr>
              <w:t>注:公司对需对上述事项进行承诺响应且提供租房合同或中标后拟租房位置，不提供不得分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kinsoku/>
              <w:wordWrap/>
              <w:overflowPunct/>
              <w:topLinePunct w:val="0"/>
              <w:bidi w:val="0"/>
              <w:snapToGrid/>
              <w:spacing w:after="0" w:line="320" w:lineRule="exact"/>
              <w:ind w:left="0" w:leftChars="0"/>
              <w:jc w:val="center"/>
              <w:textAlignment w:val="auto"/>
              <w:rPr>
                <w:rFonts w:hint="eastAsia" w:ascii="Calibri" w:hAnsi="Calibri" w:eastAsia="宋体" w:cs="Times New Roman"/>
                <w:sz w:val="24"/>
                <w:szCs w:val="24"/>
                <w:highlight w:val="none"/>
                <w:lang w:val="en-US" w:eastAsia="zh-Hans" w:bidi="ar-SA"/>
              </w:rPr>
            </w:pPr>
          </w:p>
        </w:tc>
      </w:tr>
    </w:tbl>
    <w:p>
      <w:pPr>
        <w:rPr>
          <w:rFonts w:hint="eastAsia" w:hAnsi="宋体" w:cs="宋体"/>
          <w:b w:val="0"/>
          <w:bCs w:val="0"/>
          <w:color w:val="auto"/>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89BBDC"/>
    <w:multiLevelType w:val="singleLevel"/>
    <w:tmpl w:val="8889BBD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B3780"/>
    <w:rsid w:val="06324441"/>
    <w:rsid w:val="08B83D3A"/>
    <w:rsid w:val="09801217"/>
    <w:rsid w:val="0EB37EF5"/>
    <w:rsid w:val="10241205"/>
    <w:rsid w:val="11A425FA"/>
    <w:rsid w:val="12522403"/>
    <w:rsid w:val="16216D8D"/>
    <w:rsid w:val="19853CC6"/>
    <w:rsid w:val="1A83685C"/>
    <w:rsid w:val="1E8D798E"/>
    <w:rsid w:val="265677EE"/>
    <w:rsid w:val="27602436"/>
    <w:rsid w:val="29120568"/>
    <w:rsid w:val="2A5313EA"/>
    <w:rsid w:val="2BCA2966"/>
    <w:rsid w:val="2CD4449A"/>
    <w:rsid w:val="2F1421C1"/>
    <w:rsid w:val="37291F65"/>
    <w:rsid w:val="38CE1611"/>
    <w:rsid w:val="3CBF10FB"/>
    <w:rsid w:val="3E820DAA"/>
    <w:rsid w:val="3F174564"/>
    <w:rsid w:val="43942C88"/>
    <w:rsid w:val="48314D0C"/>
    <w:rsid w:val="49682DA1"/>
    <w:rsid w:val="498B6818"/>
    <w:rsid w:val="49C506D7"/>
    <w:rsid w:val="49EA0399"/>
    <w:rsid w:val="49ED6DED"/>
    <w:rsid w:val="4C215299"/>
    <w:rsid w:val="4DB44F68"/>
    <w:rsid w:val="4DD82389"/>
    <w:rsid w:val="4F006EE8"/>
    <w:rsid w:val="571654DD"/>
    <w:rsid w:val="580B389D"/>
    <w:rsid w:val="58982C87"/>
    <w:rsid w:val="5A6F777C"/>
    <w:rsid w:val="5B8714A4"/>
    <w:rsid w:val="5C815A10"/>
    <w:rsid w:val="63107828"/>
    <w:rsid w:val="65754D3A"/>
    <w:rsid w:val="65F94C32"/>
    <w:rsid w:val="692239C5"/>
    <w:rsid w:val="69AF244E"/>
    <w:rsid w:val="6D863720"/>
    <w:rsid w:val="70482302"/>
    <w:rsid w:val="70895976"/>
    <w:rsid w:val="721C7A10"/>
    <w:rsid w:val="788148E8"/>
    <w:rsid w:val="79B46185"/>
    <w:rsid w:val="7A6F3809"/>
    <w:rsid w:val="7B837301"/>
    <w:rsid w:val="7FA67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
    <w:name w:val="13、表格内居中正文"/>
    <w:basedOn w:val="1"/>
    <w:qFormat/>
    <w:uiPriority w:val="0"/>
    <w:pPr>
      <w:tabs>
        <w:tab w:val="left" w:pos="0"/>
      </w:tabs>
      <w:wordWrap w:val="0"/>
      <w:topLinePunct/>
      <w:spacing w:line="360" w:lineRule="exact"/>
      <w:jc w:val="center"/>
    </w:pPr>
    <w:rPr>
      <w:sz w:val="21"/>
    </w:rPr>
  </w:style>
  <w:style w:type="paragraph" w:customStyle="1" w:styleId="8">
    <w:name w:val="12、表格内左对齐正文"/>
    <w:basedOn w:val="1"/>
    <w:qFormat/>
    <w:uiPriority w:val="0"/>
    <w:pPr>
      <w:tabs>
        <w:tab w:val="left" w:pos="0"/>
      </w:tabs>
      <w:wordWrap w:val="0"/>
      <w:topLinePunct/>
      <w:spacing w:line="360" w:lineRule="exact"/>
      <w:ind w:left="48" w:leftChars="20"/>
    </w:pPr>
    <w:rPr>
      <w:snapToGrid w:val="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1633</Words>
  <Characters>1696</Characters>
  <Lines>0</Lines>
  <Paragraphs>0</Paragraphs>
  <TotalTime>14</TotalTime>
  <ScaleCrop>false</ScaleCrop>
  <LinksUpToDate>false</LinksUpToDate>
  <CharactersWithSpaces>1714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2025-05-09T04:21:00Z</dcterms:created>
  <dc:creator>admin</dc:creator>
  <cp:lastModifiedBy>Administrator</cp:lastModifiedBy>
  <dcterms:modified xsi:type="dcterms:W3CDTF">2025-05-13T01:09:08Z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KSOTemplateDocerSaveRecord">
    <vt:lpwstr>eyJoZGlkIjoiZjY2NDdhOTNmZmE2ODgwM2RjOTQ0ZDEyYjVmNWFjMjYiLCJ1c2VySWQiOiI2NDE1NTgwIn0=</vt:lpwstr>
  </property>
  <property fmtid="{D5CDD505-2E9C-101B-9397-08002B2CF9AE}" pid="4" name="ICV">
    <vt:lpwstr>D51302A2C8AA4E1BAB414D18457979ED_13</vt:lpwstr>
  </property>
</Properties>
</file>