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F4914">
      <w:pPr>
        <w:pStyle w:val="3"/>
        <w:bidi w:val="0"/>
        <w:jc w:val="center"/>
        <w:rPr>
          <w:rFonts w:hint="eastAsia"/>
          <w:lang w:eastAsia="zh-CN"/>
        </w:rPr>
      </w:pPr>
      <w:r>
        <w:rPr>
          <w:rFonts w:hint="eastAsia"/>
          <w:lang w:eastAsia="zh-CN"/>
        </w:rPr>
        <w:t>大邑县人民医院</w:t>
      </w:r>
    </w:p>
    <w:p w14:paraId="45E30905">
      <w:pPr>
        <w:pStyle w:val="3"/>
        <w:bidi w:val="0"/>
        <w:jc w:val="center"/>
        <w:rPr>
          <w:rFonts w:hint="eastAsia"/>
          <w:lang w:eastAsia="zh-CN"/>
        </w:rPr>
      </w:pPr>
      <w:r>
        <w:rPr>
          <w:rFonts w:hint="eastAsia"/>
        </w:rPr>
        <w:t>委托外部审计服务项目</w:t>
      </w:r>
      <w:r>
        <w:rPr>
          <w:rFonts w:hint="eastAsia"/>
          <w:lang w:eastAsia="zh-CN"/>
        </w:rPr>
        <w:t>比选文件</w:t>
      </w:r>
    </w:p>
    <w:p w14:paraId="749EEDA8">
      <w:pPr>
        <w:rPr>
          <w:rFonts w:hint="eastAsia"/>
          <w:lang w:eastAsia="zh-CN"/>
        </w:rPr>
      </w:pPr>
    </w:p>
    <w:p w14:paraId="1612D87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2" w:firstLineChars="200"/>
        <w:jc w:val="left"/>
        <w:textAlignment w:val="auto"/>
        <w:rPr>
          <w:rFonts w:hint="eastAsia" w:asciiTheme="minorEastAsia" w:hAnsiTheme="minorEastAsia"/>
          <w:sz w:val="30"/>
          <w:szCs w:val="30"/>
          <w:lang w:val="en-US" w:eastAsia="zh-CN"/>
        </w:rPr>
      </w:pPr>
      <w:r>
        <w:rPr>
          <w:rFonts w:hint="eastAsia" w:ascii="宋体" w:hAnsi="宋体" w:eastAsia="宋体" w:cs="微软雅黑"/>
          <w:b/>
          <w:color w:val="383838"/>
          <w:sz w:val="28"/>
          <w:szCs w:val="28"/>
          <w:shd w:val="clear" w:color="auto" w:fill="FFFFFF"/>
        </w:rPr>
        <w:t>一、项目名称：</w:t>
      </w:r>
      <w:r>
        <w:rPr>
          <w:rFonts w:hint="eastAsia" w:ascii="宋体" w:hAnsi="宋体" w:eastAsia="宋体" w:cs="微软雅黑"/>
          <w:kern w:val="0"/>
          <w:sz w:val="28"/>
          <w:szCs w:val="28"/>
        </w:rPr>
        <w:t>委托外部审计服务项目</w:t>
      </w:r>
    </w:p>
    <w:p w14:paraId="335AF683">
      <w:pPr>
        <w:pStyle w:val="2"/>
        <w:spacing w:line="240" w:lineRule="auto"/>
        <w:ind w:firstLine="562" w:firstLineChars="200"/>
        <w:rPr>
          <w:rFonts w:hint="default"/>
          <w:lang w:val="en-US" w:eastAsia="zh-CN"/>
        </w:rPr>
      </w:pPr>
      <w:r>
        <w:rPr>
          <w:rFonts w:hint="eastAsia" w:ascii="宋体" w:hAnsi="宋体" w:eastAsia="宋体" w:cs="微软雅黑"/>
          <w:b/>
          <w:color w:val="383838"/>
          <w:shd w:val="clear" w:color="auto" w:fill="FFFFFF"/>
        </w:rPr>
        <w:t>二、</w:t>
      </w:r>
      <w:r>
        <w:rPr>
          <w:rFonts w:hint="eastAsia" w:ascii="宋体" w:hAnsi="宋体" w:eastAsia="宋体" w:cs="微软雅黑"/>
          <w:b/>
          <w:color w:val="383838"/>
          <w:shd w:val="clear" w:color="auto" w:fill="FFFFFF"/>
          <w:lang w:val="en-US" w:eastAsia="zh-CN"/>
        </w:rPr>
        <w:t>项目内容</w:t>
      </w:r>
      <w:r>
        <w:rPr>
          <w:rFonts w:hint="eastAsia" w:ascii="宋体" w:hAnsi="宋体" w:eastAsia="宋体" w:cs="微软雅黑"/>
          <w:color w:val="383838"/>
          <w:shd w:val="clear" w:color="auto" w:fill="FFFFFF"/>
        </w:rPr>
        <w:t>：</w:t>
      </w:r>
      <w:r>
        <w:rPr>
          <w:rFonts w:hint="eastAsia" w:asciiTheme="minorEastAsia" w:hAnsiTheme="minorEastAsia" w:eastAsiaTheme="minorEastAsia" w:cstheme="minorBidi"/>
          <w:kern w:val="2"/>
          <w:sz w:val="30"/>
          <w:szCs w:val="30"/>
          <w:lang w:val="en-US" w:eastAsia="zh-CN" w:bidi="ar-SA"/>
        </w:rPr>
        <w:t>大邑县人民医院2024年度财务年报、财务收支、内部控制风险评估及评价和固定资产清查审计服务。</w:t>
      </w:r>
    </w:p>
    <w:p w14:paraId="31138DF0">
      <w:pPr>
        <w:pStyle w:val="2"/>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微软雅黑"/>
          <w:color w:val="383838"/>
          <w:shd w:val="clear" w:color="auto" w:fill="FFFFFF"/>
          <w:lang w:val="en-US" w:eastAsia="zh-CN"/>
        </w:rPr>
      </w:pPr>
      <w:r>
        <w:rPr>
          <w:rFonts w:hint="eastAsia" w:ascii="宋体" w:hAnsi="宋体" w:eastAsia="宋体" w:cs="微软雅黑"/>
          <w:b/>
          <w:color w:val="383838"/>
          <w:shd w:val="clear" w:color="auto" w:fill="FFFFFF"/>
        </w:rPr>
        <w:t>三、预算金额</w:t>
      </w:r>
      <w:r>
        <w:rPr>
          <w:rFonts w:hint="eastAsia" w:ascii="宋体" w:hAnsi="宋体" w:eastAsia="宋体" w:cs="微软雅黑"/>
          <w:color w:val="383838"/>
          <w:shd w:val="clear" w:color="auto" w:fill="FFFFFF"/>
        </w:rPr>
        <w:t>：</w:t>
      </w:r>
      <w:r>
        <w:rPr>
          <w:rFonts w:hint="eastAsia" w:ascii="宋体" w:hAnsi="宋体" w:eastAsia="宋体" w:cs="微软雅黑"/>
          <w:color w:val="383838"/>
          <w:shd w:val="clear" w:color="auto" w:fill="FFFFFF"/>
          <w:lang w:val="en-US" w:eastAsia="zh-CN"/>
        </w:rPr>
        <w:t>4.9</w:t>
      </w:r>
      <w:r>
        <w:rPr>
          <w:rFonts w:hint="eastAsia" w:ascii="宋体" w:hAnsi="宋体" w:eastAsia="宋体" w:cs="微软雅黑"/>
          <w:color w:val="383838"/>
          <w:shd w:val="clear" w:color="auto" w:fill="FFFFFF"/>
        </w:rPr>
        <w:t>万元</w:t>
      </w:r>
    </w:p>
    <w:p w14:paraId="02F63634">
      <w:pPr>
        <w:pStyle w:val="2"/>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ascii="宋体" w:hAnsi="宋体" w:eastAsia="宋体" w:cs="微软雅黑"/>
          <w:color w:val="383838"/>
          <w:shd w:val="clear" w:color="auto" w:fill="FFFFFF"/>
        </w:rPr>
      </w:pPr>
      <w:r>
        <w:rPr>
          <w:rFonts w:hint="eastAsia" w:ascii="宋体" w:hAnsi="宋体" w:eastAsia="宋体" w:cs="微软雅黑"/>
          <w:b/>
          <w:color w:val="383838"/>
          <w:shd w:val="clear" w:color="auto" w:fill="FFFFFF"/>
        </w:rPr>
        <w:t>四</w:t>
      </w:r>
      <w:r>
        <w:rPr>
          <w:rFonts w:ascii="宋体" w:hAnsi="宋体" w:eastAsia="宋体" w:cs="微软雅黑"/>
          <w:b/>
          <w:color w:val="383838"/>
          <w:shd w:val="clear" w:color="auto" w:fill="FFFFFF"/>
        </w:rPr>
        <w:t>、评标方式</w:t>
      </w:r>
      <w:r>
        <w:rPr>
          <w:rFonts w:ascii="宋体" w:hAnsi="宋体" w:eastAsia="宋体" w:cs="微软雅黑"/>
          <w:color w:val="383838"/>
          <w:shd w:val="clear" w:color="auto" w:fill="FFFFFF"/>
        </w:rPr>
        <w:t>：综合评分法</w:t>
      </w:r>
    </w:p>
    <w:p w14:paraId="73FB2822">
      <w:pPr>
        <w:pStyle w:val="2"/>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微软雅黑"/>
          <w:b/>
          <w:color w:val="383838"/>
          <w:shd w:val="clear" w:color="auto" w:fill="FFFFFF"/>
        </w:rPr>
      </w:pPr>
      <w:r>
        <w:rPr>
          <w:rFonts w:hint="eastAsia" w:ascii="宋体" w:hAnsi="宋体" w:eastAsia="宋体" w:cs="微软雅黑"/>
          <w:b/>
          <w:color w:val="383838"/>
          <w:shd w:val="clear" w:color="auto" w:fill="FFFFFF"/>
          <w:lang w:val="en-US" w:eastAsia="zh-CN"/>
        </w:rPr>
        <w:t>五</w:t>
      </w:r>
      <w:r>
        <w:rPr>
          <w:rFonts w:hint="eastAsia" w:ascii="宋体" w:hAnsi="宋体" w:eastAsia="宋体" w:cs="微软雅黑"/>
          <w:b/>
          <w:color w:val="383838"/>
          <w:shd w:val="clear" w:color="auto" w:fill="FFFFFF"/>
        </w:rPr>
        <w:t>、资格要求：</w:t>
      </w:r>
    </w:p>
    <w:p w14:paraId="39A16D24">
      <w:pPr>
        <w:keepNext w:val="0"/>
        <w:keepLines w:val="0"/>
        <w:pageBreakBefore w:val="0"/>
        <w:widowControl w:val="0"/>
        <w:kinsoku/>
        <w:wordWrap/>
        <w:overflowPunct/>
        <w:topLinePunct w:val="0"/>
        <w:autoSpaceDE w:val="0"/>
        <w:autoSpaceDN w:val="0"/>
        <w:bidi w:val="0"/>
        <w:snapToGrid/>
        <w:spacing w:line="24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1、具有独立承担民事责任的能力；</w:t>
      </w:r>
    </w:p>
    <w:p w14:paraId="49F558D0">
      <w:pPr>
        <w:keepNext w:val="0"/>
        <w:keepLines w:val="0"/>
        <w:pageBreakBefore w:val="0"/>
        <w:widowControl w:val="0"/>
        <w:kinsoku/>
        <w:wordWrap/>
        <w:overflowPunct/>
        <w:topLinePunct w:val="0"/>
        <w:autoSpaceDE w:val="0"/>
        <w:autoSpaceDN w:val="0"/>
        <w:bidi w:val="0"/>
        <w:snapToGrid/>
        <w:spacing w:line="24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2、具有良好的商业信誉和健全的财务会计制度； </w:t>
      </w:r>
    </w:p>
    <w:p w14:paraId="0663994C">
      <w:pPr>
        <w:keepNext w:val="0"/>
        <w:keepLines w:val="0"/>
        <w:pageBreakBefore w:val="0"/>
        <w:widowControl w:val="0"/>
        <w:kinsoku/>
        <w:wordWrap/>
        <w:overflowPunct/>
        <w:topLinePunct w:val="0"/>
        <w:autoSpaceDE w:val="0"/>
        <w:autoSpaceDN w:val="0"/>
        <w:bidi w:val="0"/>
        <w:snapToGrid/>
        <w:spacing w:line="24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3、具有履行合同所必需的设备和专业技术能力；</w:t>
      </w:r>
    </w:p>
    <w:p w14:paraId="5B7A8306">
      <w:pPr>
        <w:keepNext w:val="0"/>
        <w:keepLines w:val="0"/>
        <w:pageBreakBefore w:val="0"/>
        <w:widowControl w:val="0"/>
        <w:kinsoku/>
        <w:wordWrap/>
        <w:overflowPunct/>
        <w:topLinePunct w:val="0"/>
        <w:autoSpaceDE w:val="0"/>
        <w:autoSpaceDN w:val="0"/>
        <w:bidi w:val="0"/>
        <w:snapToGrid/>
        <w:spacing w:line="24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4、具有依法缴纳税收和社会保障资金的良好记录；</w:t>
      </w:r>
    </w:p>
    <w:p w14:paraId="45F25061">
      <w:pPr>
        <w:keepNext w:val="0"/>
        <w:keepLines w:val="0"/>
        <w:pageBreakBefore w:val="0"/>
        <w:widowControl w:val="0"/>
        <w:kinsoku/>
        <w:wordWrap/>
        <w:overflowPunct/>
        <w:topLinePunct w:val="0"/>
        <w:autoSpaceDE w:val="0"/>
        <w:autoSpaceDN w:val="0"/>
        <w:bidi w:val="0"/>
        <w:snapToGrid/>
        <w:spacing w:line="240" w:lineRule="auto"/>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5、参加本次比选活动前三年内，在经营活动中没有重大违法记录；未处于财产被接管、冻结、破产状态，未处于有关行政处罚期间，未处于投标禁入期内</w:t>
      </w:r>
      <w:r>
        <w:rPr>
          <w:rFonts w:hint="eastAsia" w:ascii="宋体" w:hAnsi="宋体" w:eastAsia="宋体" w:cs="宋体"/>
          <w:color w:val="000000"/>
          <w:sz w:val="28"/>
          <w:szCs w:val="28"/>
          <w:lang w:eastAsia="zh-CN"/>
        </w:rPr>
        <w:t>；</w:t>
      </w:r>
    </w:p>
    <w:p w14:paraId="411F641D">
      <w:pPr>
        <w:keepNext w:val="0"/>
        <w:keepLines w:val="0"/>
        <w:pageBreakBefore w:val="0"/>
        <w:widowControl w:val="0"/>
        <w:kinsoku/>
        <w:wordWrap/>
        <w:overflowPunct/>
        <w:topLinePunct w:val="0"/>
        <w:autoSpaceDE w:val="0"/>
        <w:autoSpaceDN w:val="0"/>
        <w:bidi w:val="0"/>
        <w:snapToGrid/>
        <w:spacing w:line="24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6、法律、行政法规规定的其他条件：</w:t>
      </w:r>
    </w:p>
    <w:p w14:paraId="49C1BF09">
      <w:pPr>
        <w:keepNext w:val="0"/>
        <w:keepLines w:val="0"/>
        <w:pageBreakBefore w:val="0"/>
        <w:widowControl w:val="0"/>
        <w:kinsoku/>
        <w:wordWrap/>
        <w:overflowPunct/>
        <w:topLinePunct w:val="0"/>
        <w:autoSpaceDE w:val="0"/>
        <w:autoSpaceDN w:val="0"/>
        <w:bidi w:val="0"/>
        <w:snapToGrid/>
        <w:spacing w:line="240" w:lineRule="auto"/>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6.1单位负责人为同一人或者存在直接控股、管理关系的不同比选申请人，不得参加同一合同项下的比选活动</w:t>
      </w:r>
      <w:r>
        <w:rPr>
          <w:rFonts w:hint="eastAsia" w:ascii="宋体" w:hAnsi="宋体" w:eastAsia="宋体" w:cs="宋体"/>
          <w:color w:val="000000"/>
          <w:sz w:val="28"/>
          <w:szCs w:val="28"/>
          <w:lang w:eastAsia="zh-CN"/>
        </w:rPr>
        <w:t>；</w:t>
      </w:r>
    </w:p>
    <w:p w14:paraId="3BDBB33D">
      <w:pPr>
        <w:keepNext w:val="0"/>
        <w:keepLines w:val="0"/>
        <w:pageBreakBefore w:val="0"/>
        <w:widowControl w:val="0"/>
        <w:kinsoku/>
        <w:wordWrap/>
        <w:overflowPunct/>
        <w:topLinePunct w:val="0"/>
        <w:autoSpaceDE w:val="0"/>
        <w:autoSpaceDN w:val="0"/>
        <w:bidi w:val="0"/>
        <w:snapToGrid/>
        <w:spacing w:line="240" w:lineRule="auto"/>
        <w:ind w:left="0" w:leftChars="0"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6.2供应商单位及其法定代表人、主要负责人不得具有行贿犯罪记录</w:t>
      </w:r>
      <w:r>
        <w:rPr>
          <w:rFonts w:hint="eastAsia" w:ascii="宋体" w:hAnsi="宋体" w:eastAsia="宋体" w:cs="宋体"/>
          <w:color w:val="000000"/>
          <w:sz w:val="28"/>
          <w:szCs w:val="28"/>
          <w:lang w:eastAsia="zh-CN"/>
        </w:rPr>
        <w:t>；</w:t>
      </w:r>
    </w:p>
    <w:p w14:paraId="4DF87E24">
      <w:pPr>
        <w:keepNext w:val="0"/>
        <w:keepLines w:val="0"/>
        <w:pageBreakBefore w:val="0"/>
        <w:widowControl w:val="0"/>
        <w:kinsoku/>
        <w:wordWrap/>
        <w:overflowPunct/>
        <w:topLinePunct w:val="0"/>
        <w:autoSpaceDE w:val="0"/>
        <w:autoSpaceDN w:val="0"/>
        <w:bidi w:val="0"/>
        <w:snapToGrid/>
        <w:spacing w:line="240" w:lineRule="auto"/>
        <w:ind w:left="533" w:leftChars="254" w:firstLine="0" w:firstLineChars="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6.3拒绝列入失信被执行人、重大税收违法案件当事人名单、政府采购严重违法失信行为记录名单的比选申请人参加本次比选活动；</w:t>
      </w:r>
    </w:p>
    <w:p w14:paraId="0C2B0768">
      <w:pPr>
        <w:pStyle w:val="10"/>
        <w:keepNext w:val="0"/>
        <w:keepLines w:val="0"/>
        <w:pageBreakBefore w:val="0"/>
        <w:widowControl w:val="0"/>
        <w:numPr>
          <w:ilvl w:val="0"/>
          <w:numId w:val="0"/>
        </w:numPr>
        <w:kinsoku/>
        <w:wordWrap/>
        <w:overflowPunct/>
        <w:topLinePunct w:val="0"/>
        <w:autoSpaceDE w:val="0"/>
        <w:autoSpaceDN w:val="0"/>
        <w:bidi w:val="0"/>
        <w:snapToGrid/>
        <w:spacing w:line="240" w:lineRule="auto"/>
        <w:ind w:firstLine="560" w:firstLineChars="200"/>
        <w:textAlignment w:val="auto"/>
        <w:rPr>
          <w:rFonts w:hint="eastAsia" w:ascii="宋体" w:hAnsi="宋体" w:eastAsia="宋体" w:cs="宋体"/>
          <w:sz w:val="28"/>
          <w:szCs w:val="28"/>
          <w:lang w:val="zh-CN" w:bidi="zh-CN"/>
        </w:rPr>
      </w:pPr>
      <w:r>
        <w:rPr>
          <w:rFonts w:hint="eastAsia" w:ascii="宋体" w:hAnsi="宋体" w:eastAsia="宋体" w:cs="宋体"/>
          <w:sz w:val="28"/>
          <w:szCs w:val="28"/>
          <w:lang w:val="en-US" w:bidi="zh-CN"/>
        </w:rPr>
        <w:t>7、</w:t>
      </w:r>
      <w:r>
        <w:rPr>
          <w:rFonts w:hint="eastAsia" w:ascii="宋体" w:hAnsi="宋体" w:eastAsia="宋体" w:cs="宋体"/>
          <w:sz w:val="28"/>
          <w:szCs w:val="28"/>
          <w:lang w:val="zh-CN" w:bidi="zh-CN"/>
        </w:rPr>
        <w:t>本项目不接受联合体参加比选。</w:t>
      </w:r>
    </w:p>
    <w:p w14:paraId="6AFDAA6F">
      <w:pPr>
        <w:pStyle w:val="10"/>
        <w:keepNext w:val="0"/>
        <w:keepLines w:val="0"/>
        <w:pageBreakBefore w:val="0"/>
        <w:widowControl w:val="0"/>
        <w:numPr>
          <w:ilvl w:val="0"/>
          <w:numId w:val="0"/>
        </w:numPr>
        <w:kinsoku/>
        <w:wordWrap/>
        <w:overflowPunct/>
        <w:topLinePunct w:val="0"/>
        <w:autoSpaceDE w:val="0"/>
        <w:autoSpaceDN w:val="0"/>
        <w:bidi w:val="0"/>
        <w:snapToGrid/>
        <w:spacing w:line="240" w:lineRule="auto"/>
        <w:ind w:firstLine="560" w:firstLineChars="200"/>
        <w:textAlignment w:val="auto"/>
        <w:rPr>
          <w:rFonts w:hint="eastAsia" w:ascii="宋体" w:hAnsi="宋体" w:eastAsia="宋体" w:cs="宋体"/>
          <w:sz w:val="28"/>
          <w:szCs w:val="28"/>
          <w:lang w:val="zh-CN" w:bidi="zh-CN"/>
        </w:rPr>
      </w:pPr>
      <w:r>
        <w:rPr>
          <w:rFonts w:hint="eastAsia" w:ascii="宋体" w:hAnsi="宋体" w:eastAsia="宋体" w:cs="宋体"/>
          <w:sz w:val="28"/>
          <w:szCs w:val="28"/>
          <w:lang w:val="en-US" w:bidi="zh-CN"/>
        </w:rPr>
        <w:t>8、</w:t>
      </w:r>
      <w:r>
        <w:rPr>
          <w:rFonts w:hint="eastAsia" w:ascii="宋体" w:hAnsi="宋体" w:eastAsia="宋体" w:cs="宋体"/>
          <w:color w:val="383838"/>
          <w:sz w:val="28"/>
          <w:szCs w:val="28"/>
          <w:shd w:val="clear" w:color="auto" w:fill="FFFFFF"/>
        </w:rPr>
        <w:t>持有经财政部门依法审批的会计师事务所执业证书。</w:t>
      </w:r>
    </w:p>
    <w:p w14:paraId="687D59D8">
      <w:pPr>
        <w:pStyle w:val="2"/>
        <w:keepNext w:val="0"/>
        <w:keepLines w:val="0"/>
        <w:pageBreakBefore w:val="0"/>
        <w:kinsoku/>
        <w:wordWrap/>
        <w:overflowPunct/>
        <w:topLinePunct w:val="0"/>
        <w:autoSpaceDE/>
        <w:autoSpaceDN/>
        <w:bidi w:val="0"/>
        <w:adjustRightInd/>
        <w:snapToGrid/>
        <w:spacing w:line="240" w:lineRule="auto"/>
        <w:ind w:firstLine="562" w:firstLineChars="200"/>
        <w:textAlignment w:val="auto"/>
        <w:rPr>
          <w:rFonts w:ascii="宋体" w:hAnsi="宋体" w:eastAsia="宋体" w:cs="微软雅黑"/>
          <w:b/>
          <w:color w:val="383838"/>
          <w:shd w:val="clear" w:color="auto" w:fill="FFFFFF"/>
        </w:rPr>
      </w:pPr>
      <w:r>
        <w:rPr>
          <w:rFonts w:ascii="宋体" w:hAnsi="宋体" w:eastAsia="宋体" w:cs="微软雅黑"/>
          <w:b/>
          <w:color w:val="383838"/>
          <w:shd w:val="clear" w:color="auto" w:fill="FFFFFF"/>
        </w:rPr>
        <w:t>六</w:t>
      </w:r>
      <w:r>
        <w:rPr>
          <w:rFonts w:hint="eastAsia" w:ascii="宋体" w:hAnsi="宋体" w:eastAsia="宋体" w:cs="微软雅黑"/>
          <w:b/>
          <w:color w:val="383838"/>
          <w:shd w:val="clear" w:color="auto" w:fill="FFFFFF"/>
        </w:rPr>
        <w:t>、服务要求：</w:t>
      </w:r>
      <w:bookmarkStart w:id="1" w:name="_GoBack"/>
      <w:bookmarkEnd w:id="1"/>
    </w:p>
    <w:p w14:paraId="0B9BC21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微软雅黑"/>
          <w:color w:val="383838"/>
          <w:sz w:val="28"/>
          <w:szCs w:val="28"/>
          <w:shd w:val="clear" w:color="auto" w:fill="FFFFFF"/>
        </w:rPr>
      </w:pPr>
      <w:r>
        <w:rPr>
          <w:rFonts w:hint="eastAsia" w:ascii="宋体" w:hAnsi="宋体" w:eastAsia="宋体" w:cs="微软雅黑"/>
          <w:color w:val="383838"/>
          <w:sz w:val="28"/>
          <w:szCs w:val="28"/>
          <w:shd w:val="clear" w:color="auto" w:fill="FFFFFF"/>
        </w:rPr>
        <w:t>1</w:t>
      </w:r>
      <w:r>
        <w:rPr>
          <w:rFonts w:hint="eastAsia" w:ascii="宋体" w:hAnsi="宋体" w:eastAsia="宋体" w:cs="微软雅黑"/>
          <w:color w:val="383838"/>
          <w:sz w:val="28"/>
          <w:szCs w:val="28"/>
          <w:shd w:val="clear" w:color="auto" w:fill="FFFFFF"/>
          <w:lang w:val="en-US" w:eastAsia="zh-CN"/>
        </w:rPr>
        <w:t>.</w:t>
      </w:r>
      <w:r>
        <w:rPr>
          <w:rFonts w:hint="eastAsia" w:ascii="宋体" w:hAnsi="宋体" w:eastAsia="宋体" w:cs="微软雅黑"/>
          <w:color w:val="383838"/>
          <w:sz w:val="28"/>
          <w:szCs w:val="28"/>
          <w:shd w:val="clear" w:color="auto" w:fill="FFFFFF"/>
        </w:rPr>
        <w:t>对委托项目应按比选时提供的实施方案组织实施，项目组人员中至少应保证：项目负责人必须是本公司的注册会计师，本项目负责人必须全程参与审计工作现场</w:t>
      </w:r>
      <w:r>
        <w:rPr>
          <w:rFonts w:hint="eastAsia" w:ascii="宋体" w:hAnsi="宋体" w:eastAsia="宋体" w:cs="微软雅黑"/>
          <w:color w:val="383838"/>
          <w:sz w:val="28"/>
          <w:szCs w:val="28"/>
          <w:shd w:val="clear" w:color="auto" w:fill="FFFFFF"/>
          <w:lang w:eastAsia="zh-CN"/>
        </w:rPr>
        <w:t>，</w:t>
      </w:r>
      <w:r>
        <w:rPr>
          <w:rFonts w:hint="eastAsia" w:ascii="宋体" w:hAnsi="宋体" w:eastAsia="宋体" w:cs="微软雅黑"/>
          <w:color w:val="383838"/>
          <w:sz w:val="28"/>
          <w:szCs w:val="28"/>
          <w:shd w:val="clear" w:color="auto" w:fill="FFFFFF"/>
        </w:rPr>
        <w:t>审计人员必须与审计实施方案中人员配置一致，与甲乙双方有利害关系的人员必须回避。</w:t>
      </w:r>
    </w:p>
    <w:p w14:paraId="1DA0131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微软雅黑"/>
          <w:color w:val="383838"/>
          <w:sz w:val="28"/>
          <w:szCs w:val="28"/>
          <w:shd w:val="clear" w:color="auto" w:fill="FFFFFF"/>
        </w:rPr>
      </w:pPr>
      <w:r>
        <w:rPr>
          <w:rFonts w:hint="eastAsia" w:ascii="宋体" w:hAnsi="宋体" w:eastAsia="宋体" w:cs="宋体"/>
          <w:sz w:val="24"/>
        </w:rPr>
        <w:t>★</w:t>
      </w:r>
      <w:r>
        <w:rPr>
          <w:rFonts w:hint="eastAsia" w:ascii="宋体" w:hAnsi="宋体" w:eastAsia="宋体" w:cs="微软雅黑"/>
          <w:color w:val="383838"/>
          <w:sz w:val="28"/>
          <w:szCs w:val="28"/>
          <w:shd w:val="clear" w:color="auto" w:fill="FFFFFF"/>
        </w:rPr>
        <w:t>2</w:t>
      </w:r>
      <w:r>
        <w:rPr>
          <w:rFonts w:hint="eastAsia" w:ascii="宋体" w:hAnsi="宋体" w:eastAsia="宋体" w:cs="微软雅黑"/>
          <w:color w:val="383838"/>
          <w:sz w:val="28"/>
          <w:szCs w:val="28"/>
          <w:shd w:val="clear" w:color="auto" w:fill="FFFFFF"/>
          <w:lang w:val="en-US" w:eastAsia="zh-CN"/>
        </w:rPr>
        <w:t>.</w:t>
      </w:r>
      <w:r>
        <w:rPr>
          <w:rFonts w:hint="eastAsia" w:ascii="宋体" w:hAnsi="宋体" w:eastAsia="宋体" w:cs="微软雅黑"/>
          <w:color w:val="383838"/>
          <w:sz w:val="28"/>
          <w:szCs w:val="28"/>
          <w:shd w:val="clear" w:color="auto" w:fill="FFFFFF"/>
        </w:rPr>
        <w:t>供应商应在</w:t>
      </w:r>
      <w:r>
        <w:rPr>
          <w:rFonts w:hint="eastAsia" w:ascii="宋体" w:hAnsi="宋体" w:eastAsia="宋体" w:cs="微软雅黑"/>
          <w:color w:val="383838"/>
          <w:sz w:val="28"/>
          <w:szCs w:val="28"/>
          <w:shd w:val="clear" w:color="auto" w:fill="FFFFFF"/>
          <w:lang w:val="en-US" w:eastAsia="zh-CN"/>
        </w:rPr>
        <w:t>60</w:t>
      </w:r>
      <w:r>
        <w:rPr>
          <w:rFonts w:hint="eastAsia" w:ascii="宋体" w:hAnsi="宋体" w:eastAsia="宋体" w:cs="微软雅黑"/>
          <w:color w:val="383838"/>
          <w:sz w:val="28"/>
          <w:szCs w:val="28"/>
          <w:shd w:val="clear" w:color="auto" w:fill="FFFFFF"/>
        </w:rPr>
        <w:t>天内完成受托业务并出具审计报告，同时提供审计报告和审计底稿电子文档。如因采购方原因或不可预见的情况，供应商不能按照约定时间完成受托业务，供应商应与采购方协商后确定完成时限。</w:t>
      </w:r>
    </w:p>
    <w:p w14:paraId="639631A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微软雅黑"/>
          <w:color w:val="383838"/>
          <w:sz w:val="28"/>
          <w:szCs w:val="28"/>
          <w:shd w:val="clear" w:color="auto" w:fill="FFFFFF"/>
        </w:rPr>
      </w:pPr>
      <w:r>
        <w:rPr>
          <w:rFonts w:hint="eastAsia" w:ascii="宋体" w:hAnsi="宋体" w:eastAsia="宋体" w:cs="微软雅黑"/>
          <w:color w:val="383838"/>
          <w:sz w:val="28"/>
          <w:szCs w:val="28"/>
          <w:shd w:val="clear" w:color="auto" w:fill="FFFFFF"/>
        </w:rPr>
        <w:t>3</w:t>
      </w:r>
      <w:r>
        <w:rPr>
          <w:rFonts w:hint="eastAsia" w:ascii="宋体" w:hAnsi="宋体" w:eastAsia="宋体" w:cs="微软雅黑"/>
          <w:color w:val="383838"/>
          <w:sz w:val="28"/>
          <w:szCs w:val="28"/>
          <w:shd w:val="clear" w:color="auto" w:fill="FFFFFF"/>
          <w:lang w:val="en-US" w:eastAsia="zh-CN"/>
        </w:rPr>
        <w:t>.</w:t>
      </w:r>
      <w:r>
        <w:rPr>
          <w:rFonts w:hint="eastAsia" w:ascii="宋体" w:hAnsi="宋体" w:eastAsia="宋体" w:cs="微软雅黑"/>
          <w:color w:val="383838"/>
          <w:sz w:val="28"/>
          <w:szCs w:val="28"/>
          <w:shd w:val="clear" w:color="auto" w:fill="FFFFFF"/>
        </w:rPr>
        <w:t>采购人认为供应商的项目审计结果有较大问题时，采购人有权对审核项目进行重审，供应商应予以配合。</w:t>
      </w:r>
    </w:p>
    <w:p w14:paraId="466F92D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微软雅黑"/>
          <w:color w:val="383838"/>
          <w:sz w:val="28"/>
          <w:szCs w:val="28"/>
          <w:shd w:val="clear" w:color="auto" w:fill="FFFFFF"/>
        </w:rPr>
      </w:pPr>
      <w:r>
        <w:rPr>
          <w:rFonts w:hint="eastAsia" w:ascii="宋体" w:hAnsi="宋体" w:eastAsia="宋体" w:cs="微软雅黑"/>
          <w:color w:val="383838"/>
          <w:sz w:val="28"/>
          <w:szCs w:val="28"/>
          <w:shd w:val="clear" w:color="auto" w:fill="FFFFFF"/>
        </w:rPr>
        <w:t>4</w:t>
      </w:r>
      <w:r>
        <w:rPr>
          <w:rFonts w:hint="eastAsia" w:ascii="宋体" w:hAnsi="宋体" w:eastAsia="宋体" w:cs="微软雅黑"/>
          <w:color w:val="383838"/>
          <w:sz w:val="28"/>
          <w:szCs w:val="28"/>
          <w:shd w:val="clear" w:color="auto" w:fill="FFFFFF"/>
          <w:lang w:val="en-US" w:eastAsia="zh-CN"/>
        </w:rPr>
        <w:t>.</w:t>
      </w:r>
      <w:r>
        <w:rPr>
          <w:rFonts w:hint="eastAsia" w:ascii="宋体" w:hAnsi="宋体" w:eastAsia="宋体" w:cs="微软雅黑"/>
          <w:color w:val="383838"/>
          <w:sz w:val="28"/>
          <w:szCs w:val="28"/>
          <w:shd w:val="clear" w:color="auto" w:fill="FFFFFF"/>
        </w:rPr>
        <w:t>供应商应按照国家法律法规、政府会计制度、事业单位会计准则等依法开展工作，并规范出具审计报告。</w:t>
      </w:r>
    </w:p>
    <w:p w14:paraId="1E6D674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微软雅黑"/>
          <w:color w:val="383838"/>
          <w:sz w:val="28"/>
          <w:szCs w:val="28"/>
          <w:shd w:val="clear" w:color="auto" w:fill="FFFFFF"/>
        </w:rPr>
      </w:pPr>
      <w:r>
        <w:rPr>
          <w:rFonts w:hint="eastAsia" w:ascii="宋体" w:hAnsi="宋体" w:eastAsia="宋体" w:cs="微软雅黑"/>
          <w:color w:val="383838"/>
          <w:sz w:val="28"/>
          <w:szCs w:val="28"/>
          <w:shd w:val="clear" w:color="auto" w:fill="FFFFFF"/>
        </w:rPr>
        <w:t>5</w:t>
      </w:r>
      <w:r>
        <w:rPr>
          <w:rFonts w:hint="eastAsia" w:ascii="宋体" w:hAnsi="宋体" w:eastAsia="宋体" w:cs="微软雅黑"/>
          <w:color w:val="383838"/>
          <w:sz w:val="28"/>
          <w:szCs w:val="28"/>
          <w:shd w:val="clear" w:color="auto" w:fill="FFFFFF"/>
          <w:lang w:val="en-US" w:eastAsia="zh-CN"/>
        </w:rPr>
        <w:t>.</w:t>
      </w:r>
      <w:r>
        <w:rPr>
          <w:rFonts w:hint="eastAsia" w:ascii="宋体" w:hAnsi="宋体" w:eastAsia="宋体" w:cs="微软雅黑"/>
          <w:color w:val="383838"/>
          <w:sz w:val="28"/>
          <w:szCs w:val="28"/>
          <w:shd w:val="clear" w:color="auto" w:fill="FFFFFF"/>
        </w:rPr>
        <w:t>供应商执业中必须遵守国家相关法律、法规，遵守行业自律和委托方的廉政纪律、保密纪律、职业道德以及其他相关规定。否则，应承担相应法律责任。</w:t>
      </w:r>
    </w:p>
    <w:p w14:paraId="78F831E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微软雅黑"/>
          <w:color w:val="383838"/>
          <w:sz w:val="28"/>
          <w:szCs w:val="28"/>
          <w:shd w:val="clear" w:color="auto" w:fill="FFFFFF"/>
        </w:rPr>
      </w:pPr>
      <w:r>
        <w:rPr>
          <w:rFonts w:hint="eastAsia" w:ascii="宋体" w:hAnsi="宋体" w:eastAsia="宋体" w:cs="微软雅黑"/>
          <w:color w:val="383838"/>
          <w:sz w:val="28"/>
          <w:szCs w:val="28"/>
          <w:shd w:val="clear" w:color="auto" w:fill="FFFFFF"/>
        </w:rPr>
        <w:t>6</w:t>
      </w:r>
      <w:r>
        <w:rPr>
          <w:rFonts w:hint="eastAsia" w:ascii="宋体" w:hAnsi="宋体" w:eastAsia="宋体" w:cs="微软雅黑"/>
          <w:color w:val="383838"/>
          <w:sz w:val="28"/>
          <w:szCs w:val="28"/>
          <w:shd w:val="clear" w:color="auto" w:fill="FFFFFF"/>
          <w:lang w:val="en-US" w:eastAsia="zh-CN"/>
        </w:rPr>
        <w:t>.</w:t>
      </w:r>
      <w:r>
        <w:rPr>
          <w:rFonts w:hint="eastAsia" w:ascii="宋体" w:hAnsi="宋体" w:eastAsia="宋体" w:cs="微软雅黑"/>
          <w:color w:val="383838"/>
          <w:sz w:val="28"/>
          <w:szCs w:val="28"/>
          <w:shd w:val="clear" w:color="auto" w:fill="FFFFFF"/>
        </w:rPr>
        <w:t>受托供应商应严格遵守采购人的信息保密制度，严禁复制、盗用项目有关信息以及在审计中获悉的采购人其它信息。否则，采购人有权终止合作，拒绝支付任何项目费用，并保留进一步采用法律手段解决问题的权利。</w:t>
      </w:r>
    </w:p>
    <w:p w14:paraId="3485921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微软雅黑"/>
          <w:color w:val="383838"/>
          <w:sz w:val="28"/>
          <w:szCs w:val="28"/>
          <w:shd w:val="clear" w:color="auto" w:fill="FFFFFF"/>
        </w:rPr>
      </w:pPr>
      <w:r>
        <w:rPr>
          <w:rFonts w:hint="eastAsia" w:ascii="宋体" w:hAnsi="宋体" w:eastAsia="宋体" w:cs="微软雅黑"/>
          <w:color w:val="383838"/>
          <w:sz w:val="28"/>
          <w:szCs w:val="28"/>
          <w:shd w:val="clear" w:color="auto" w:fill="FFFFFF"/>
          <w:lang w:val="en-US" w:eastAsia="zh-CN"/>
        </w:rPr>
        <w:t>7.</w:t>
      </w:r>
      <w:r>
        <w:rPr>
          <w:rFonts w:hint="eastAsia" w:ascii="宋体" w:hAnsi="宋体" w:eastAsia="宋体" w:cs="微软雅黑"/>
          <w:color w:val="383838"/>
          <w:sz w:val="28"/>
          <w:szCs w:val="28"/>
          <w:shd w:val="clear" w:color="auto" w:fill="FFFFFF"/>
        </w:rPr>
        <w:t>风险评估</w:t>
      </w:r>
      <w:r>
        <w:rPr>
          <w:rFonts w:hint="eastAsia" w:ascii="宋体" w:hAnsi="宋体" w:eastAsia="宋体" w:cs="微软雅黑"/>
          <w:color w:val="383838"/>
          <w:sz w:val="28"/>
          <w:szCs w:val="28"/>
          <w:shd w:val="clear" w:color="auto" w:fill="FFFFFF"/>
          <w:lang w:val="en-US" w:eastAsia="zh-CN"/>
        </w:rPr>
        <w:t>要求</w:t>
      </w:r>
      <w:r>
        <w:rPr>
          <w:rFonts w:hint="eastAsia" w:ascii="宋体" w:hAnsi="宋体" w:eastAsia="宋体" w:cs="微软雅黑"/>
          <w:color w:val="383838"/>
          <w:sz w:val="28"/>
          <w:szCs w:val="28"/>
          <w:shd w:val="clear" w:color="auto" w:fill="FFFFFF"/>
        </w:rPr>
        <w:t>：根据相关文件精神，结合医院实际情况，全面、系统和客观地识别、分析医院经济活动及相关业务活动存在的风险，确定相应的风险承受度及风险应对策略，提出完善内控建设的建议，并出具风险评估报告，协助医院完善内控体系建设工作。</w:t>
      </w:r>
    </w:p>
    <w:p w14:paraId="440214B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微软雅黑"/>
          <w:color w:val="383838"/>
          <w:sz w:val="28"/>
          <w:szCs w:val="28"/>
          <w:shd w:val="clear" w:color="auto" w:fill="FFFFFF"/>
          <w:lang w:eastAsia="zh-CN"/>
        </w:rPr>
      </w:pPr>
      <w:r>
        <w:rPr>
          <w:rFonts w:hint="eastAsia" w:ascii="宋体" w:hAnsi="宋体" w:eastAsia="宋体" w:cs="微软雅黑"/>
          <w:color w:val="383838"/>
          <w:sz w:val="28"/>
          <w:szCs w:val="28"/>
          <w:shd w:val="clear" w:color="auto" w:fill="FFFFFF"/>
          <w:lang w:val="en-US" w:eastAsia="zh-CN"/>
        </w:rPr>
        <w:t>8.内控评价要求</w:t>
      </w:r>
      <w:r>
        <w:rPr>
          <w:rFonts w:hint="eastAsia" w:ascii="宋体" w:hAnsi="宋体" w:eastAsia="宋体" w:cs="微软雅黑"/>
          <w:color w:val="383838"/>
          <w:sz w:val="28"/>
          <w:szCs w:val="28"/>
          <w:shd w:val="clear" w:color="auto" w:fill="FFFFFF"/>
          <w:lang w:eastAsia="zh-CN"/>
        </w:rPr>
        <w:t>：</w:t>
      </w:r>
      <w:r>
        <w:rPr>
          <w:rFonts w:hint="eastAsia" w:ascii="宋体" w:hAnsi="宋体" w:eastAsia="宋体" w:cs="微软雅黑"/>
          <w:color w:val="383838"/>
          <w:sz w:val="28"/>
          <w:szCs w:val="28"/>
          <w:shd w:val="clear" w:color="auto" w:fill="FFFFFF"/>
        </w:rPr>
        <w:t>根据相关文件精神，对医院内部控制建立和实施的有效性进行评价，并出具评价报告。查找内部控制体系在设计和运行过程中存在的管理漏洞和薄弱环节，提出完善建议，协助医院完善内控体系建设工作。</w:t>
      </w:r>
      <w:r>
        <w:rPr>
          <w:rFonts w:hint="eastAsia" w:ascii="宋体" w:hAnsi="宋体" w:eastAsia="宋体" w:cs="微软雅黑"/>
          <w:color w:val="383838"/>
          <w:sz w:val="28"/>
          <w:szCs w:val="28"/>
          <w:shd w:val="clear" w:color="auto" w:fill="FFFFFF"/>
          <w:lang w:val="en-US" w:eastAsia="zh-CN"/>
        </w:rPr>
        <w:t>在出具内控评价报告后，结合发现问题向</w:t>
      </w:r>
      <w:r>
        <w:rPr>
          <w:rFonts w:hint="eastAsia" w:ascii="宋体" w:hAnsi="宋体" w:eastAsia="宋体" w:cs="微软雅黑"/>
          <w:color w:val="383838"/>
          <w:sz w:val="28"/>
          <w:szCs w:val="28"/>
          <w:shd w:val="clear" w:color="auto" w:fill="FFFFFF"/>
        </w:rPr>
        <w:t>医院职工开展内部控制相关的专题培训</w:t>
      </w:r>
      <w:r>
        <w:rPr>
          <w:rFonts w:hint="eastAsia" w:ascii="宋体" w:hAnsi="宋体" w:eastAsia="宋体" w:cs="微软雅黑"/>
          <w:color w:val="383838"/>
          <w:sz w:val="28"/>
          <w:szCs w:val="28"/>
          <w:shd w:val="clear" w:color="auto" w:fill="FFFFFF"/>
          <w:lang w:eastAsia="zh-CN"/>
        </w:rPr>
        <w:t>。</w:t>
      </w:r>
    </w:p>
    <w:p w14:paraId="300BEC1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微软雅黑"/>
          <w:color w:val="383838"/>
          <w:sz w:val="28"/>
          <w:szCs w:val="28"/>
          <w:shd w:val="clear" w:color="auto" w:fill="FFFFFF"/>
          <w:lang w:val="en-US" w:eastAsia="zh-CN"/>
        </w:rPr>
      </w:pPr>
      <w:r>
        <w:rPr>
          <w:rFonts w:hint="eastAsia" w:ascii="宋体" w:hAnsi="宋体" w:eastAsia="宋体" w:cs="微软雅黑"/>
          <w:color w:val="383838"/>
          <w:sz w:val="28"/>
          <w:szCs w:val="28"/>
          <w:shd w:val="clear" w:color="auto" w:fill="FFFFFF"/>
          <w:lang w:val="en-US" w:eastAsia="zh-CN"/>
        </w:rPr>
        <w:t>9.固定资产清查：我院资产条数共8000余条，原值约3.6亿元，本次资产清查以2024年12月31日为基准日，对全院范围内的资产进行清查盘点。要求供应商应具有医院或事业单位资产清查工作经验；成立清查小组，清查组需安排具有资产清查相关经验的人员，能够指导小组开展清产工作并详细记录所需要的信息；以使用科室为单位，清查其所有资产的名称、型号、规格、数量，确保账账相符、账物相符；查清资产盘盈盘亏情况，并提出改进建议；根据清查情况出具有法律效力的专业清查报告，并对资产清查结果及处置提出意见或建议；对拟报废的固定资产进行资产价值评估并出具资产评估报告。</w:t>
      </w:r>
    </w:p>
    <w:p w14:paraId="5CB19A17">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cs="微软雅黑"/>
          <w:color w:val="383838"/>
          <w:kern w:val="2"/>
          <w:sz w:val="28"/>
          <w:szCs w:val="28"/>
          <w:shd w:val="clear" w:color="auto" w:fill="FFFFFF"/>
          <w:lang w:val="en-US" w:eastAsia="zh-CN"/>
        </w:rPr>
      </w:pPr>
    </w:p>
    <w:p w14:paraId="3B45CAD8">
      <w:pPr>
        <w:pStyle w:val="6"/>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cs="微软雅黑"/>
          <w:color w:val="383838"/>
          <w:kern w:val="2"/>
          <w:sz w:val="28"/>
          <w:szCs w:val="28"/>
          <w:shd w:val="clear" w:color="auto" w:fill="FFFFFF"/>
          <w:lang w:val="en-US" w:eastAsia="zh-CN"/>
        </w:rPr>
      </w:pPr>
    </w:p>
    <w:p w14:paraId="3C9D2033">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default" w:cs="微软雅黑"/>
          <w:color w:val="383838"/>
          <w:kern w:val="2"/>
          <w:sz w:val="28"/>
          <w:szCs w:val="28"/>
          <w:shd w:val="clear" w:color="auto" w:fill="FFFFFF"/>
          <w:lang w:val="en-US" w:eastAsia="zh-CN"/>
        </w:rPr>
      </w:pPr>
    </w:p>
    <w:p w14:paraId="0EA3F6FB">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default" w:cs="微软雅黑"/>
          <w:color w:val="383838"/>
          <w:kern w:val="2"/>
          <w:sz w:val="28"/>
          <w:szCs w:val="28"/>
          <w:shd w:val="clear" w:color="auto" w:fill="FFFFFF"/>
          <w:lang w:val="en-US" w:eastAsia="zh-CN"/>
        </w:rPr>
      </w:pPr>
    </w:p>
    <w:p w14:paraId="75518771">
      <w:pPr>
        <w:pStyle w:val="6"/>
        <w:keepNext w:val="0"/>
        <w:keepLines w:val="0"/>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default" w:cs="微软雅黑"/>
          <w:color w:val="383838"/>
          <w:kern w:val="2"/>
          <w:sz w:val="28"/>
          <w:szCs w:val="28"/>
          <w:shd w:val="clear" w:color="auto" w:fill="FFFFFF"/>
          <w:lang w:val="en-US" w:eastAsia="zh-CN"/>
        </w:rPr>
      </w:pPr>
    </w:p>
    <w:p w14:paraId="4C269356">
      <w:pPr>
        <w:pStyle w:val="2"/>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ascii="宋体" w:hAnsi="宋体" w:eastAsia="宋体" w:cs="微软雅黑"/>
          <w:b/>
          <w:color w:val="383838"/>
          <w:shd w:val="clear" w:color="auto" w:fill="FFFFFF"/>
        </w:rPr>
      </w:pPr>
      <w:r>
        <w:rPr>
          <w:rFonts w:hint="eastAsia" w:ascii="宋体" w:hAnsi="宋体" w:eastAsia="宋体" w:cs="微软雅黑"/>
          <w:b/>
          <w:color w:val="383838"/>
          <w:shd w:val="clear" w:color="auto" w:fill="FFFFFF"/>
          <w:lang w:val="en-US" w:eastAsia="zh-CN"/>
        </w:rPr>
        <w:t>七</w:t>
      </w:r>
      <w:r>
        <w:rPr>
          <w:rFonts w:ascii="宋体" w:hAnsi="宋体" w:eastAsia="宋体" w:cs="微软雅黑"/>
          <w:b/>
          <w:color w:val="383838"/>
          <w:shd w:val="clear" w:color="auto" w:fill="FFFFFF"/>
        </w:rPr>
        <w:t>、综合评分表：</w:t>
      </w:r>
    </w:p>
    <w:tbl>
      <w:tblPr>
        <w:tblStyle w:val="7"/>
        <w:tblpPr w:leftFromText="180" w:rightFromText="180" w:vertAnchor="text" w:horzAnchor="page" w:tblpX="977" w:tblpY="458"/>
        <w:tblOverlap w:val="never"/>
        <w:tblW w:w="10363" w:type="dxa"/>
        <w:tblInd w:w="0" w:type="dxa"/>
        <w:tblLayout w:type="fixed"/>
        <w:tblCellMar>
          <w:top w:w="0" w:type="dxa"/>
          <w:left w:w="0" w:type="dxa"/>
          <w:bottom w:w="0" w:type="dxa"/>
          <w:right w:w="0" w:type="dxa"/>
        </w:tblCellMar>
      </w:tblPr>
      <w:tblGrid>
        <w:gridCol w:w="609"/>
        <w:gridCol w:w="1311"/>
        <w:gridCol w:w="870"/>
        <w:gridCol w:w="6075"/>
        <w:gridCol w:w="1498"/>
      </w:tblGrid>
      <w:tr w14:paraId="0732778F">
        <w:tblPrEx>
          <w:tblCellMar>
            <w:top w:w="0" w:type="dxa"/>
            <w:left w:w="0" w:type="dxa"/>
            <w:bottom w:w="0" w:type="dxa"/>
            <w:right w:w="0" w:type="dxa"/>
          </w:tblCellMar>
        </w:tblPrEx>
        <w:trPr>
          <w:trHeight w:val="640"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53A44FB">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序号</w:t>
            </w:r>
          </w:p>
        </w:tc>
        <w:tc>
          <w:tcPr>
            <w:tcW w:w="13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EFFFB8D">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评分因素</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79BE07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rPr>
              <w:t>分值</w:t>
            </w:r>
          </w:p>
        </w:tc>
        <w:tc>
          <w:tcPr>
            <w:tcW w:w="60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1443FC9">
            <w:pPr>
              <w:widowControl/>
              <w:ind w:firstLine="420" w:firstLineChars="200"/>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评分标准</w:t>
            </w:r>
          </w:p>
        </w:tc>
        <w:tc>
          <w:tcPr>
            <w:tcW w:w="149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675FD5E">
            <w:pPr>
              <w:widowControl/>
              <w:ind w:firstLine="420" w:firstLineChars="200"/>
              <w:textAlignment w:val="center"/>
              <w:rPr>
                <w:rFonts w:hint="eastAsia" w:ascii="仿宋" w:hAnsi="仿宋" w:eastAsia="仿宋" w:cs="仿宋"/>
                <w:color w:val="000000"/>
                <w:szCs w:val="21"/>
              </w:rPr>
            </w:pPr>
            <w:r>
              <w:rPr>
                <w:rFonts w:hint="eastAsia" w:ascii="仿宋" w:hAnsi="仿宋" w:eastAsia="仿宋" w:cs="仿宋"/>
                <w:color w:val="000000"/>
                <w:kern w:val="0"/>
                <w:szCs w:val="21"/>
              </w:rPr>
              <w:t>说明</w:t>
            </w:r>
          </w:p>
        </w:tc>
      </w:tr>
      <w:tr w14:paraId="59F47CA8">
        <w:tblPrEx>
          <w:tblCellMar>
            <w:top w:w="0" w:type="dxa"/>
            <w:left w:w="0" w:type="dxa"/>
            <w:bottom w:w="0" w:type="dxa"/>
            <w:right w:w="0" w:type="dxa"/>
          </w:tblCellMar>
        </w:tblPrEx>
        <w:trPr>
          <w:trHeight w:val="1075" w:hRule="atLeast"/>
        </w:trPr>
        <w:tc>
          <w:tcPr>
            <w:tcW w:w="6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0FA6D2">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w:t>
            </w:r>
          </w:p>
        </w:tc>
        <w:tc>
          <w:tcPr>
            <w:tcW w:w="13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272672E">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报价</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539030E7">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25分</w:t>
            </w:r>
          </w:p>
        </w:tc>
        <w:tc>
          <w:tcPr>
            <w:tcW w:w="607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5154723">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以本次评审最低有效报价为基准价，</w:t>
            </w:r>
          </w:p>
          <w:p w14:paraId="1D6DB49B">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报价得分=（基准价/报价）×25</w:t>
            </w:r>
          </w:p>
        </w:tc>
        <w:tc>
          <w:tcPr>
            <w:tcW w:w="149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4C47026">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p>
        </w:tc>
      </w:tr>
      <w:tr w14:paraId="01617CF4">
        <w:tblPrEx>
          <w:tblCellMar>
            <w:top w:w="0" w:type="dxa"/>
            <w:left w:w="0" w:type="dxa"/>
            <w:bottom w:w="0" w:type="dxa"/>
            <w:right w:w="0" w:type="dxa"/>
          </w:tblCellMar>
        </w:tblPrEx>
        <w:trPr>
          <w:trHeight w:val="2000" w:hRule="atLeast"/>
        </w:trPr>
        <w:tc>
          <w:tcPr>
            <w:tcW w:w="609"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B53ABD4">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2</w:t>
            </w:r>
          </w:p>
        </w:tc>
        <w:tc>
          <w:tcPr>
            <w:tcW w:w="131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5285C58">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项目服务方案</w:t>
            </w:r>
          </w:p>
        </w:tc>
        <w:tc>
          <w:tcPr>
            <w:tcW w:w="8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1099F6DB">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3</w:t>
            </w: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分</w:t>
            </w:r>
          </w:p>
        </w:tc>
        <w:tc>
          <w:tcPr>
            <w:tcW w:w="60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B80E3A9">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1.</w:t>
            </w:r>
            <w:r>
              <w:rPr>
                <w:rFonts w:hint="eastAsia" w:ascii="仿宋" w:hAnsi="仿宋" w:eastAsia="仿宋" w:cs="仿宋"/>
                <w:bCs/>
                <w:kern w:val="0"/>
                <w:sz w:val="24"/>
                <w:szCs w:val="24"/>
                <w:lang w:eastAsia="zh-CN"/>
              </w:rPr>
              <w:t>审计</w:t>
            </w:r>
            <w:r>
              <w:rPr>
                <w:rFonts w:hint="eastAsia" w:ascii="仿宋" w:hAnsi="仿宋" w:eastAsia="仿宋" w:cs="仿宋"/>
                <w:bCs/>
                <w:kern w:val="0"/>
                <w:sz w:val="24"/>
                <w:szCs w:val="24"/>
              </w:rPr>
              <w:t>方案：审计实施方案是否有针对本项目的主要风险，按照招标文件要求并结合自身执业经验提出明确的审计范围和方法，审计程序是否明晰并具有可操作性。评价为优得</w:t>
            </w:r>
            <w:r>
              <w:rPr>
                <w:rFonts w:hint="eastAsia" w:ascii="仿宋" w:hAnsi="仿宋" w:eastAsia="仿宋" w:cs="仿宋"/>
                <w:bCs/>
                <w:kern w:val="0"/>
                <w:sz w:val="24"/>
                <w:szCs w:val="24"/>
                <w:lang w:val="en-US" w:eastAsia="zh-CN"/>
              </w:rPr>
              <w:t>8</w:t>
            </w:r>
            <w:r>
              <w:rPr>
                <w:rFonts w:hint="eastAsia" w:ascii="仿宋" w:hAnsi="仿宋" w:eastAsia="仿宋" w:cs="仿宋"/>
                <w:bCs/>
                <w:kern w:val="0"/>
                <w:sz w:val="24"/>
                <w:szCs w:val="24"/>
              </w:rPr>
              <w:t>-1</w:t>
            </w: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rPr>
              <w:t>分，良得</w:t>
            </w: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w:t>
            </w:r>
            <w:r>
              <w:rPr>
                <w:rFonts w:hint="eastAsia" w:ascii="仿宋" w:hAnsi="仿宋" w:eastAsia="仿宋" w:cs="仿宋"/>
                <w:bCs/>
                <w:kern w:val="0"/>
                <w:sz w:val="24"/>
                <w:szCs w:val="24"/>
                <w:lang w:val="en-US" w:eastAsia="zh-CN"/>
              </w:rPr>
              <w:t>7</w:t>
            </w:r>
            <w:r>
              <w:rPr>
                <w:rFonts w:hint="eastAsia" w:ascii="仿宋" w:hAnsi="仿宋" w:eastAsia="仿宋" w:cs="仿宋"/>
                <w:bCs/>
                <w:kern w:val="0"/>
                <w:sz w:val="24"/>
                <w:szCs w:val="24"/>
              </w:rPr>
              <w:t>分，一般得1-</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分，未提供不得分，本项满分</w:t>
            </w:r>
            <w:r>
              <w:rPr>
                <w:rFonts w:hint="eastAsia" w:ascii="仿宋" w:hAnsi="仿宋" w:eastAsia="仿宋" w:cs="仿宋"/>
                <w:bCs/>
                <w:kern w:val="0"/>
                <w:sz w:val="24"/>
                <w:szCs w:val="24"/>
                <w:lang w:val="en-US" w:eastAsia="zh-CN"/>
              </w:rPr>
              <w:t>12</w:t>
            </w:r>
            <w:r>
              <w:rPr>
                <w:rFonts w:hint="eastAsia" w:ascii="仿宋" w:hAnsi="仿宋" w:eastAsia="仿宋" w:cs="仿宋"/>
                <w:bCs/>
                <w:kern w:val="0"/>
                <w:sz w:val="24"/>
                <w:szCs w:val="24"/>
              </w:rPr>
              <w:t>分</w:t>
            </w:r>
            <w:r>
              <w:rPr>
                <w:rFonts w:hint="eastAsia" w:ascii="仿宋" w:hAnsi="仿宋" w:eastAsia="仿宋" w:cs="仿宋"/>
                <w:bCs/>
                <w:kern w:val="0"/>
                <w:sz w:val="24"/>
                <w:szCs w:val="24"/>
                <w:lang w:eastAsia="zh-CN"/>
              </w:rPr>
              <w:t>；</w:t>
            </w:r>
          </w:p>
          <w:p w14:paraId="43D5C29E">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lang w:eastAsia="zh-CN"/>
              </w:rPr>
            </w:pPr>
            <w:r>
              <w:rPr>
                <w:rFonts w:hint="eastAsia" w:ascii="仿宋" w:hAnsi="仿宋" w:eastAsia="仿宋" w:cs="仿宋"/>
                <w:bCs/>
                <w:kern w:val="0"/>
                <w:sz w:val="24"/>
                <w:szCs w:val="24"/>
              </w:rPr>
              <w:t>2.进度安排：对本次审计项目时间安排的合理性及进度执行的可行性。评价为优得</w:t>
            </w:r>
            <w:r>
              <w:rPr>
                <w:rFonts w:hint="eastAsia" w:ascii="仿宋" w:hAnsi="仿宋" w:eastAsia="仿宋" w:cs="仿宋"/>
                <w:bCs/>
                <w:kern w:val="0"/>
                <w:sz w:val="24"/>
                <w:szCs w:val="24"/>
                <w:lang w:val="en-US" w:eastAsia="zh-CN"/>
              </w:rPr>
              <w:t>8</w:t>
            </w:r>
            <w:r>
              <w:rPr>
                <w:rFonts w:hint="eastAsia" w:ascii="仿宋" w:hAnsi="仿宋" w:eastAsia="仿宋" w:cs="仿宋"/>
                <w:bCs/>
                <w:kern w:val="0"/>
                <w:sz w:val="24"/>
                <w:szCs w:val="24"/>
              </w:rPr>
              <w:t>-1</w:t>
            </w: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rPr>
              <w:t>分，良得</w:t>
            </w: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w:t>
            </w:r>
            <w:r>
              <w:rPr>
                <w:rFonts w:hint="eastAsia" w:ascii="仿宋" w:hAnsi="仿宋" w:eastAsia="仿宋" w:cs="仿宋"/>
                <w:bCs/>
                <w:kern w:val="0"/>
                <w:sz w:val="24"/>
                <w:szCs w:val="24"/>
                <w:lang w:val="en-US" w:eastAsia="zh-CN"/>
              </w:rPr>
              <w:t>7</w:t>
            </w:r>
            <w:r>
              <w:rPr>
                <w:rFonts w:hint="eastAsia" w:ascii="仿宋" w:hAnsi="仿宋" w:eastAsia="仿宋" w:cs="仿宋"/>
                <w:bCs/>
                <w:kern w:val="0"/>
                <w:sz w:val="24"/>
                <w:szCs w:val="24"/>
              </w:rPr>
              <w:t>分，一般得1-</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分，未提供不得分，本项满分1</w:t>
            </w: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rPr>
              <w:t>分</w:t>
            </w:r>
            <w:r>
              <w:rPr>
                <w:rFonts w:hint="eastAsia" w:ascii="仿宋" w:hAnsi="仿宋" w:eastAsia="仿宋" w:cs="仿宋"/>
                <w:bCs/>
                <w:kern w:val="0"/>
                <w:sz w:val="24"/>
                <w:szCs w:val="24"/>
                <w:lang w:eastAsia="zh-CN"/>
              </w:rPr>
              <w:t>；</w:t>
            </w:r>
          </w:p>
          <w:p w14:paraId="5401A1F5">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3.保障措施：审计质量控制措施是否充分、适当和可行，是否明确审计质量偏差纠正措施。评价优得</w:t>
            </w:r>
            <w:r>
              <w:rPr>
                <w:rFonts w:hint="eastAsia" w:ascii="仿宋" w:hAnsi="仿宋" w:eastAsia="仿宋" w:cs="仿宋"/>
                <w:bCs/>
                <w:kern w:val="0"/>
                <w:sz w:val="24"/>
                <w:szCs w:val="24"/>
                <w:lang w:val="en-US" w:eastAsia="zh-CN"/>
              </w:rPr>
              <w:t>7-10</w:t>
            </w:r>
            <w:r>
              <w:rPr>
                <w:rFonts w:hint="eastAsia" w:ascii="仿宋" w:hAnsi="仿宋" w:eastAsia="仿宋" w:cs="仿宋"/>
                <w:bCs/>
                <w:kern w:val="0"/>
                <w:sz w:val="24"/>
                <w:szCs w:val="24"/>
              </w:rPr>
              <w:t>分，良得</w:t>
            </w:r>
            <w:r>
              <w:rPr>
                <w:rFonts w:hint="eastAsia" w:ascii="仿宋" w:hAnsi="仿宋" w:eastAsia="仿宋" w:cs="仿宋"/>
                <w:bCs/>
                <w:kern w:val="0"/>
                <w:sz w:val="24"/>
                <w:szCs w:val="24"/>
                <w:lang w:val="en-US" w:eastAsia="zh-CN"/>
              </w:rPr>
              <w:t>4-6</w:t>
            </w:r>
            <w:r>
              <w:rPr>
                <w:rFonts w:hint="eastAsia" w:ascii="仿宋" w:hAnsi="仿宋" w:eastAsia="仿宋" w:cs="仿宋"/>
                <w:bCs/>
                <w:kern w:val="0"/>
                <w:sz w:val="24"/>
                <w:szCs w:val="24"/>
              </w:rPr>
              <w:t>分，一般得1-</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分，未提供不得分，本项满分</w:t>
            </w:r>
            <w:r>
              <w:rPr>
                <w:rFonts w:hint="eastAsia" w:ascii="仿宋" w:hAnsi="仿宋" w:eastAsia="仿宋" w:cs="仿宋"/>
                <w:bCs/>
                <w:kern w:val="0"/>
                <w:sz w:val="24"/>
                <w:szCs w:val="24"/>
                <w:lang w:val="en-US" w:eastAsia="zh-CN"/>
              </w:rPr>
              <w:t>10</w:t>
            </w:r>
            <w:r>
              <w:rPr>
                <w:rFonts w:hint="eastAsia" w:ascii="仿宋" w:hAnsi="仿宋" w:eastAsia="仿宋" w:cs="仿宋"/>
                <w:bCs/>
                <w:kern w:val="0"/>
                <w:sz w:val="24"/>
                <w:szCs w:val="24"/>
              </w:rPr>
              <w:t>分。</w:t>
            </w:r>
          </w:p>
        </w:tc>
        <w:tc>
          <w:tcPr>
            <w:tcW w:w="149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E335943">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p>
        </w:tc>
      </w:tr>
      <w:tr w14:paraId="59E9981A">
        <w:tblPrEx>
          <w:tblCellMar>
            <w:top w:w="0" w:type="dxa"/>
            <w:left w:w="0" w:type="dxa"/>
            <w:bottom w:w="0" w:type="dxa"/>
            <w:right w:w="0" w:type="dxa"/>
          </w:tblCellMar>
        </w:tblPrEx>
        <w:trPr>
          <w:trHeight w:val="77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A49E1C8">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3</w:t>
            </w:r>
          </w:p>
        </w:tc>
        <w:tc>
          <w:tcPr>
            <w:tcW w:w="131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77C93E">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人员配置</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BDAB409">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20</w:t>
            </w:r>
            <w:r>
              <w:rPr>
                <w:rFonts w:hint="eastAsia" w:ascii="仿宋" w:hAnsi="仿宋" w:eastAsia="仿宋" w:cs="仿宋"/>
                <w:bCs/>
                <w:kern w:val="0"/>
                <w:sz w:val="24"/>
                <w:szCs w:val="24"/>
              </w:rPr>
              <w:t>分</w:t>
            </w:r>
          </w:p>
        </w:tc>
        <w:tc>
          <w:tcPr>
            <w:tcW w:w="6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FAAD0FB">
            <w:pPr>
              <w:keepNext w:val="0"/>
              <w:keepLines w:val="0"/>
              <w:pageBreakBefore w:val="0"/>
              <w:widowControl w:val="0"/>
              <w:numPr>
                <w:ilvl w:val="0"/>
                <w:numId w:val="0"/>
              </w:numPr>
              <w:kinsoku/>
              <w:wordWrap/>
              <w:overflowPunct/>
              <w:topLinePunct w:val="0"/>
              <w:autoSpaceDE/>
              <w:autoSpaceDN/>
              <w:bidi w:val="0"/>
              <w:spacing w:line="280" w:lineRule="exact"/>
              <w:jc w:val="lef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lang w:val="en-US" w:eastAsia="zh-CN"/>
                <w14:textFill>
                  <w14:solidFill>
                    <w14:schemeClr w14:val="tx1"/>
                  </w14:solidFill>
                </w14:textFill>
              </w:rPr>
              <w:t>1.</w:t>
            </w:r>
            <w:r>
              <w:rPr>
                <w:rFonts w:hint="eastAsia" w:ascii="仿宋" w:hAnsi="仿宋" w:eastAsia="仿宋" w:cs="仿宋"/>
                <w:bCs/>
                <w:color w:val="000000" w:themeColor="text1"/>
                <w:kern w:val="0"/>
                <w:sz w:val="24"/>
                <w:szCs w:val="24"/>
                <w14:textFill>
                  <w14:solidFill>
                    <w14:schemeClr w14:val="tx1"/>
                  </w14:solidFill>
                </w14:textFill>
              </w:rPr>
              <w:t>项目负责人</w:t>
            </w:r>
            <w:r>
              <w:rPr>
                <w:rFonts w:hint="eastAsia" w:ascii="仿宋" w:hAnsi="仿宋" w:eastAsia="仿宋" w:cs="仿宋"/>
                <w:bCs/>
                <w:color w:val="000000" w:themeColor="text1"/>
                <w:kern w:val="0"/>
                <w:sz w:val="24"/>
                <w:szCs w:val="24"/>
                <w:lang w:eastAsia="zh-CN"/>
                <w14:textFill>
                  <w14:solidFill>
                    <w14:schemeClr w14:val="tx1"/>
                  </w14:solidFill>
                </w14:textFill>
              </w:rPr>
              <w:t>：</w:t>
            </w:r>
            <w:r>
              <w:rPr>
                <w:rFonts w:hint="eastAsia" w:ascii="仿宋" w:hAnsi="仿宋" w:eastAsia="仿宋" w:cs="仿宋"/>
                <w:bCs/>
                <w:kern w:val="0"/>
                <w:sz w:val="24"/>
                <w:szCs w:val="24"/>
                <w:lang w:val="en-US" w:eastAsia="zh-CN"/>
              </w:rPr>
              <w:t>自</w:t>
            </w:r>
            <w:r>
              <w:rPr>
                <w:rFonts w:hint="eastAsia" w:ascii="仿宋" w:hAnsi="仿宋" w:eastAsia="仿宋" w:cs="仿宋"/>
                <w:bCs/>
                <w:kern w:val="0"/>
                <w:sz w:val="24"/>
                <w:szCs w:val="24"/>
              </w:rPr>
              <w:t>202</w:t>
            </w: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rPr>
              <w:t>年来负责过三级公立医院审计业务的</w:t>
            </w:r>
            <w:r>
              <w:rPr>
                <w:rFonts w:hint="eastAsia" w:ascii="仿宋" w:hAnsi="仿宋" w:eastAsia="仿宋" w:cs="仿宋"/>
                <w:bCs/>
                <w:color w:val="000000" w:themeColor="text1"/>
                <w:kern w:val="0"/>
                <w:sz w:val="24"/>
                <w:szCs w:val="24"/>
                <w14:textFill>
                  <w14:solidFill>
                    <w14:schemeClr w14:val="tx1"/>
                  </w14:solidFill>
                </w14:textFill>
              </w:rPr>
              <w:t>，每有</w:t>
            </w:r>
            <w:r>
              <w:rPr>
                <w:rFonts w:hint="eastAsia" w:ascii="仿宋" w:hAnsi="仿宋" w:eastAsia="仿宋" w:cs="仿宋"/>
                <w:bCs/>
                <w:color w:val="000000" w:themeColor="text1"/>
                <w:kern w:val="0"/>
                <w:sz w:val="24"/>
                <w:szCs w:val="24"/>
                <w:lang w:val="en-US" w:eastAsia="zh-CN"/>
                <w14:textFill>
                  <w14:solidFill>
                    <w14:schemeClr w14:val="tx1"/>
                  </w14:solidFill>
                </w14:textFill>
              </w:rPr>
              <w:t>1</w:t>
            </w:r>
            <w:r>
              <w:rPr>
                <w:rFonts w:hint="eastAsia" w:ascii="仿宋" w:hAnsi="仿宋" w:eastAsia="仿宋" w:cs="仿宋"/>
                <w:bCs/>
                <w:color w:val="000000" w:themeColor="text1"/>
                <w:kern w:val="0"/>
                <w:sz w:val="24"/>
                <w:szCs w:val="24"/>
                <w14:textFill>
                  <w14:solidFill>
                    <w14:schemeClr w14:val="tx1"/>
                  </w14:solidFill>
                </w14:textFill>
              </w:rPr>
              <w:t>个工作经验得</w:t>
            </w:r>
            <w:r>
              <w:rPr>
                <w:rFonts w:hint="eastAsia" w:ascii="仿宋" w:hAnsi="仿宋" w:eastAsia="仿宋" w:cs="仿宋"/>
                <w:bCs/>
                <w:color w:val="000000" w:themeColor="text1"/>
                <w:kern w:val="0"/>
                <w:sz w:val="24"/>
                <w:szCs w:val="24"/>
                <w:lang w:val="en-US" w:eastAsia="zh-CN"/>
                <w14:textFill>
                  <w14:solidFill>
                    <w14:schemeClr w14:val="tx1"/>
                  </w14:solidFill>
                </w14:textFill>
              </w:rPr>
              <w:t>2</w:t>
            </w:r>
            <w:r>
              <w:rPr>
                <w:rFonts w:hint="eastAsia" w:ascii="仿宋" w:hAnsi="仿宋" w:eastAsia="仿宋" w:cs="仿宋"/>
                <w:bCs/>
                <w:color w:val="000000" w:themeColor="text1"/>
                <w:kern w:val="0"/>
                <w:sz w:val="24"/>
                <w:szCs w:val="24"/>
                <w14:textFill>
                  <w14:solidFill>
                    <w14:schemeClr w14:val="tx1"/>
                  </w14:solidFill>
                </w14:textFill>
              </w:rPr>
              <w:t>分，</w:t>
            </w:r>
            <w:r>
              <w:rPr>
                <w:rFonts w:hint="eastAsia" w:ascii="仿宋" w:hAnsi="仿宋" w:eastAsia="仿宋" w:cs="仿宋"/>
                <w:bCs/>
                <w:color w:val="auto"/>
                <w:kern w:val="0"/>
                <w:sz w:val="24"/>
                <w:szCs w:val="24"/>
              </w:rPr>
              <w:t>本项满分</w:t>
            </w:r>
            <w:r>
              <w:rPr>
                <w:rFonts w:hint="eastAsia" w:ascii="仿宋" w:hAnsi="仿宋" w:eastAsia="仿宋" w:cs="仿宋"/>
                <w:bCs/>
                <w:color w:val="auto"/>
                <w:kern w:val="0"/>
                <w:sz w:val="24"/>
                <w:szCs w:val="24"/>
                <w:lang w:val="en-US" w:eastAsia="zh-CN"/>
              </w:rPr>
              <w:t>8</w:t>
            </w:r>
            <w:r>
              <w:rPr>
                <w:rFonts w:hint="eastAsia" w:ascii="仿宋" w:hAnsi="仿宋" w:eastAsia="仿宋" w:cs="仿宋"/>
                <w:bCs/>
                <w:color w:val="auto"/>
                <w:kern w:val="0"/>
                <w:sz w:val="24"/>
                <w:szCs w:val="24"/>
              </w:rPr>
              <w:t>分</w:t>
            </w:r>
            <w:r>
              <w:rPr>
                <w:rFonts w:hint="eastAsia" w:ascii="仿宋" w:hAnsi="仿宋" w:eastAsia="仿宋" w:cs="仿宋"/>
                <w:bCs/>
                <w:color w:val="000000" w:themeColor="text1"/>
                <w:kern w:val="0"/>
                <w:sz w:val="24"/>
                <w:szCs w:val="24"/>
                <w14:textFill>
                  <w14:solidFill>
                    <w14:schemeClr w14:val="tx1"/>
                  </w14:solidFill>
                </w14:textFill>
              </w:rPr>
              <w:t>；</w:t>
            </w:r>
          </w:p>
          <w:p w14:paraId="5F869509">
            <w:pPr>
              <w:keepNext w:val="0"/>
              <w:keepLines w:val="0"/>
              <w:pageBreakBefore w:val="0"/>
              <w:widowControl w:val="0"/>
              <w:kinsoku/>
              <w:wordWrap/>
              <w:overflowPunct/>
              <w:topLinePunct w:val="0"/>
              <w:autoSpaceDE/>
              <w:autoSpaceDN/>
              <w:bidi w:val="0"/>
              <w:spacing w:line="280" w:lineRule="exact"/>
              <w:textAlignment w:val="auto"/>
              <w:rPr>
                <w:rFonts w:hint="eastAsia" w:ascii="仿宋" w:hAnsi="仿宋" w:eastAsia="仿宋" w:cs="仿宋"/>
                <w:bCs/>
                <w:color w:val="auto"/>
                <w:kern w:val="0"/>
                <w:sz w:val="24"/>
                <w:szCs w:val="24"/>
                <w:lang w:eastAsia="zh-CN"/>
              </w:rPr>
            </w:pPr>
            <w:r>
              <w:rPr>
                <w:rFonts w:hint="eastAsia" w:ascii="仿宋" w:hAnsi="仿宋" w:eastAsia="仿宋" w:cs="仿宋"/>
                <w:bCs/>
                <w:color w:val="000000" w:themeColor="text1"/>
                <w:kern w:val="0"/>
                <w:sz w:val="24"/>
                <w:szCs w:val="24"/>
                <w:lang w:val="en-US" w:eastAsia="zh-CN"/>
                <w14:textFill>
                  <w14:solidFill>
                    <w14:schemeClr w14:val="tx1"/>
                  </w14:solidFill>
                </w14:textFill>
              </w:rPr>
              <w:t>2.</w:t>
            </w:r>
            <w:r>
              <w:rPr>
                <w:rFonts w:hint="eastAsia" w:ascii="仿宋" w:hAnsi="仿宋" w:eastAsia="仿宋" w:cs="仿宋"/>
                <w:bCs/>
                <w:color w:val="000000" w:themeColor="text1"/>
                <w:kern w:val="0"/>
                <w:sz w:val="24"/>
                <w:szCs w:val="24"/>
                <w14:textFill>
                  <w14:solidFill>
                    <w14:schemeClr w14:val="tx1"/>
                  </w14:solidFill>
                </w14:textFill>
              </w:rPr>
              <w:t>项</w:t>
            </w:r>
            <w:r>
              <w:rPr>
                <w:rFonts w:hint="eastAsia" w:ascii="仿宋" w:hAnsi="仿宋" w:eastAsia="仿宋" w:cs="仿宋"/>
                <w:bCs/>
                <w:color w:val="auto"/>
                <w:kern w:val="0"/>
                <w:sz w:val="24"/>
                <w:szCs w:val="24"/>
              </w:rPr>
              <w:t>目负责人</w:t>
            </w:r>
            <w:r>
              <w:rPr>
                <w:rFonts w:hint="eastAsia" w:ascii="仿宋" w:hAnsi="仿宋" w:eastAsia="仿宋" w:cs="仿宋"/>
                <w:bCs/>
                <w:color w:val="auto"/>
                <w:kern w:val="0"/>
                <w:sz w:val="24"/>
                <w:szCs w:val="24"/>
                <w:lang w:eastAsia="zh-CN"/>
              </w:rPr>
              <w:t>：</w:t>
            </w:r>
            <w:r>
              <w:rPr>
                <w:rFonts w:hint="eastAsia" w:ascii="仿宋" w:hAnsi="仿宋" w:eastAsia="仿宋" w:cs="仿宋"/>
                <w:bCs/>
                <w:color w:val="auto"/>
                <w:kern w:val="0"/>
                <w:sz w:val="24"/>
                <w:szCs w:val="24"/>
              </w:rPr>
              <w:t>具有</w:t>
            </w:r>
            <w:r>
              <w:rPr>
                <w:rFonts w:hint="eastAsia" w:ascii="仿宋" w:hAnsi="仿宋" w:eastAsia="仿宋" w:cs="仿宋"/>
                <w:b/>
                <w:bCs w:val="0"/>
                <w:color w:val="auto"/>
                <w:kern w:val="0"/>
                <w:sz w:val="24"/>
                <w:szCs w:val="24"/>
              </w:rPr>
              <w:t>注册会计师</w:t>
            </w:r>
            <w:r>
              <w:rPr>
                <w:rFonts w:hint="eastAsia" w:ascii="仿宋" w:hAnsi="仿宋" w:eastAsia="仿宋" w:cs="仿宋"/>
                <w:bCs/>
                <w:color w:val="auto"/>
                <w:kern w:val="0"/>
                <w:sz w:val="24"/>
                <w:szCs w:val="24"/>
              </w:rPr>
              <w:t>证书的，得</w:t>
            </w:r>
            <w:r>
              <w:rPr>
                <w:rFonts w:hint="eastAsia" w:ascii="仿宋" w:hAnsi="仿宋" w:eastAsia="仿宋" w:cs="仿宋"/>
                <w:bCs/>
                <w:color w:val="auto"/>
                <w:kern w:val="0"/>
                <w:sz w:val="24"/>
                <w:szCs w:val="24"/>
                <w:lang w:val="en-US" w:eastAsia="zh-CN"/>
              </w:rPr>
              <w:t>4</w:t>
            </w:r>
            <w:r>
              <w:rPr>
                <w:rFonts w:hint="eastAsia" w:ascii="仿宋" w:hAnsi="仿宋" w:eastAsia="仿宋" w:cs="仿宋"/>
                <w:bCs/>
                <w:color w:val="auto"/>
                <w:kern w:val="0"/>
                <w:sz w:val="24"/>
                <w:szCs w:val="24"/>
              </w:rPr>
              <w:t>分；具有</w:t>
            </w:r>
            <w:r>
              <w:rPr>
                <w:rFonts w:hint="eastAsia" w:ascii="仿宋" w:hAnsi="仿宋" w:eastAsia="仿宋" w:cs="仿宋"/>
                <w:b/>
                <w:bCs w:val="0"/>
                <w:color w:val="auto"/>
                <w:kern w:val="0"/>
                <w:sz w:val="24"/>
                <w:szCs w:val="24"/>
              </w:rPr>
              <w:t>高级职称</w:t>
            </w:r>
            <w:r>
              <w:rPr>
                <w:rFonts w:hint="eastAsia" w:ascii="仿宋" w:hAnsi="仿宋" w:eastAsia="仿宋" w:cs="仿宋"/>
                <w:bCs/>
                <w:color w:val="auto"/>
                <w:kern w:val="0"/>
                <w:sz w:val="24"/>
                <w:szCs w:val="24"/>
              </w:rPr>
              <w:t>的（与本项目相关的职称证书，如财务类、审计类），得</w:t>
            </w:r>
            <w:r>
              <w:rPr>
                <w:rFonts w:hint="eastAsia" w:ascii="仿宋" w:hAnsi="仿宋" w:eastAsia="仿宋" w:cs="仿宋"/>
                <w:bCs/>
                <w:color w:val="auto"/>
                <w:kern w:val="0"/>
                <w:sz w:val="24"/>
                <w:szCs w:val="24"/>
                <w:lang w:val="en-US" w:eastAsia="zh-CN"/>
              </w:rPr>
              <w:t>2</w:t>
            </w:r>
            <w:r>
              <w:rPr>
                <w:rFonts w:hint="eastAsia" w:ascii="仿宋" w:hAnsi="仿宋" w:eastAsia="仿宋" w:cs="仿宋"/>
                <w:bCs/>
                <w:color w:val="auto"/>
                <w:kern w:val="0"/>
                <w:sz w:val="24"/>
                <w:szCs w:val="24"/>
              </w:rPr>
              <w:t>分</w:t>
            </w:r>
            <w:r>
              <w:rPr>
                <w:rFonts w:hint="eastAsia" w:ascii="仿宋" w:hAnsi="仿宋" w:eastAsia="仿宋" w:cs="仿宋"/>
                <w:bCs/>
                <w:color w:val="auto"/>
                <w:kern w:val="0"/>
                <w:sz w:val="24"/>
                <w:szCs w:val="24"/>
                <w:lang w:eastAsia="zh-CN"/>
              </w:rPr>
              <w:t>，</w:t>
            </w:r>
            <w:r>
              <w:rPr>
                <w:rFonts w:hint="eastAsia" w:ascii="仿宋" w:hAnsi="仿宋" w:eastAsia="仿宋" w:cs="仿宋"/>
                <w:bCs/>
                <w:color w:val="auto"/>
                <w:kern w:val="0"/>
                <w:sz w:val="24"/>
                <w:szCs w:val="24"/>
              </w:rPr>
              <w:t>本项满分</w:t>
            </w:r>
            <w:r>
              <w:rPr>
                <w:rFonts w:hint="eastAsia" w:ascii="仿宋" w:hAnsi="仿宋" w:eastAsia="仿宋" w:cs="仿宋"/>
                <w:bCs/>
                <w:color w:val="auto"/>
                <w:kern w:val="0"/>
                <w:sz w:val="24"/>
                <w:szCs w:val="24"/>
                <w:lang w:val="en-US" w:eastAsia="zh-CN"/>
              </w:rPr>
              <w:t>6</w:t>
            </w:r>
            <w:r>
              <w:rPr>
                <w:rFonts w:hint="eastAsia" w:ascii="仿宋" w:hAnsi="仿宋" w:eastAsia="仿宋" w:cs="仿宋"/>
                <w:bCs/>
                <w:color w:val="auto"/>
                <w:kern w:val="0"/>
                <w:sz w:val="24"/>
                <w:szCs w:val="24"/>
              </w:rPr>
              <w:t>分</w:t>
            </w:r>
            <w:r>
              <w:rPr>
                <w:rFonts w:hint="eastAsia" w:ascii="仿宋" w:hAnsi="仿宋" w:eastAsia="仿宋" w:cs="仿宋"/>
                <w:bCs/>
                <w:color w:val="auto"/>
                <w:kern w:val="0"/>
                <w:sz w:val="24"/>
                <w:szCs w:val="24"/>
                <w:lang w:eastAsia="zh-CN"/>
              </w:rPr>
              <w:t>；</w:t>
            </w:r>
          </w:p>
          <w:p w14:paraId="3DF47B15">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color w:val="auto"/>
                <w:kern w:val="0"/>
                <w:sz w:val="24"/>
                <w:szCs w:val="24"/>
                <w:lang w:val="en-US" w:eastAsia="zh-CN"/>
              </w:rPr>
              <w:t>3</w:t>
            </w:r>
            <w:r>
              <w:rPr>
                <w:rFonts w:hint="eastAsia" w:ascii="仿宋" w:hAnsi="仿宋" w:eastAsia="仿宋" w:cs="仿宋"/>
                <w:bCs/>
                <w:color w:val="auto"/>
                <w:kern w:val="0"/>
                <w:sz w:val="24"/>
                <w:szCs w:val="24"/>
              </w:rPr>
              <w:t>.项目组成员：每有1人具有</w:t>
            </w:r>
            <w:r>
              <w:rPr>
                <w:rFonts w:hint="eastAsia" w:ascii="仿宋" w:hAnsi="仿宋" w:eastAsia="仿宋" w:cs="仿宋"/>
                <w:b/>
                <w:bCs w:val="0"/>
                <w:color w:val="auto"/>
                <w:kern w:val="0"/>
                <w:sz w:val="24"/>
                <w:szCs w:val="24"/>
              </w:rPr>
              <w:t>中级（含）以上职称</w:t>
            </w:r>
            <w:r>
              <w:rPr>
                <w:rFonts w:hint="eastAsia" w:ascii="仿宋" w:hAnsi="仿宋" w:eastAsia="仿宋" w:cs="仿宋"/>
                <w:bCs/>
                <w:color w:val="auto"/>
                <w:kern w:val="0"/>
                <w:sz w:val="24"/>
                <w:szCs w:val="24"/>
              </w:rPr>
              <w:t>证书（与本项目相关的职称证书，如财务类、审计类）的得</w:t>
            </w:r>
            <w:r>
              <w:rPr>
                <w:rFonts w:hint="eastAsia" w:ascii="仿宋" w:hAnsi="仿宋" w:eastAsia="仿宋" w:cs="仿宋"/>
                <w:bCs/>
                <w:color w:val="auto"/>
                <w:kern w:val="0"/>
                <w:sz w:val="24"/>
                <w:szCs w:val="24"/>
                <w:lang w:val="en-US" w:eastAsia="zh-CN"/>
              </w:rPr>
              <w:t>2</w:t>
            </w:r>
            <w:r>
              <w:rPr>
                <w:rFonts w:hint="eastAsia" w:ascii="仿宋" w:hAnsi="仿宋" w:eastAsia="仿宋" w:cs="仿宋"/>
                <w:bCs/>
                <w:color w:val="auto"/>
                <w:kern w:val="0"/>
                <w:sz w:val="24"/>
                <w:szCs w:val="24"/>
              </w:rPr>
              <w:t>分，本项满分</w:t>
            </w:r>
            <w:r>
              <w:rPr>
                <w:rFonts w:hint="eastAsia" w:ascii="仿宋" w:hAnsi="仿宋" w:eastAsia="仿宋" w:cs="仿宋"/>
                <w:bCs/>
                <w:color w:val="auto"/>
                <w:kern w:val="0"/>
                <w:sz w:val="24"/>
                <w:szCs w:val="24"/>
                <w:lang w:val="en-US" w:eastAsia="zh-CN"/>
              </w:rPr>
              <w:t>6</w:t>
            </w:r>
            <w:r>
              <w:rPr>
                <w:rFonts w:hint="eastAsia" w:ascii="仿宋" w:hAnsi="仿宋" w:eastAsia="仿宋" w:cs="仿宋"/>
                <w:bCs/>
                <w:color w:val="auto"/>
                <w:kern w:val="0"/>
                <w:sz w:val="24"/>
                <w:szCs w:val="24"/>
              </w:rPr>
              <w:t>分</w:t>
            </w:r>
            <w:r>
              <w:rPr>
                <w:rFonts w:hint="eastAsia" w:ascii="仿宋" w:hAnsi="仿宋" w:eastAsia="仿宋" w:cs="仿宋"/>
                <w:bCs/>
                <w:color w:val="000000" w:themeColor="text1"/>
                <w:kern w:val="0"/>
                <w:sz w:val="24"/>
                <w:szCs w:val="24"/>
                <w14:textFill>
                  <w14:solidFill>
                    <w14:schemeClr w14:val="tx1"/>
                  </w14:solidFill>
                </w14:textFill>
              </w:rPr>
              <w:t>。</w:t>
            </w:r>
          </w:p>
        </w:tc>
        <w:tc>
          <w:tcPr>
            <w:tcW w:w="149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72574EF">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提供相关证明材料复印件盖公章</w:t>
            </w:r>
          </w:p>
        </w:tc>
      </w:tr>
      <w:tr w14:paraId="1AF42B5B">
        <w:tblPrEx>
          <w:tblCellMar>
            <w:top w:w="0" w:type="dxa"/>
            <w:left w:w="0" w:type="dxa"/>
            <w:bottom w:w="0" w:type="dxa"/>
            <w:right w:w="0" w:type="dxa"/>
          </w:tblCellMar>
        </w:tblPrEx>
        <w:trPr>
          <w:trHeight w:val="77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E8A150E">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4</w:t>
            </w:r>
          </w:p>
        </w:tc>
        <w:tc>
          <w:tcPr>
            <w:tcW w:w="131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F19FE9D">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履约能力</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2FE658">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12</w:t>
            </w:r>
            <w:r>
              <w:rPr>
                <w:rFonts w:hint="eastAsia" w:ascii="仿宋" w:hAnsi="仿宋" w:eastAsia="仿宋" w:cs="仿宋"/>
                <w:bCs/>
                <w:kern w:val="0"/>
                <w:sz w:val="24"/>
                <w:szCs w:val="24"/>
              </w:rPr>
              <w:t>分</w:t>
            </w:r>
          </w:p>
        </w:tc>
        <w:tc>
          <w:tcPr>
            <w:tcW w:w="6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C50367A">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根据2024年四川省会计师事务所分类情况，供应商为AAAAA级的得</w:t>
            </w:r>
            <w:r>
              <w:rPr>
                <w:rFonts w:hint="eastAsia" w:ascii="仿宋" w:hAnsi="仿宋" w:eastAsia="仿宋" w:cs="仿宋"/>
                <w:bCs/>
                <w:kern w:val="0"/>
                <w:sz w:val="24"/>
                <w:szCs w:val="24"/>
                <w:lang w:val="en-US" w:eastAsia="zh-CN"/>
              </w:rPr>
              <w:t>6</w:t>
            </w:r>
            <w:r>
              <w:rPr>
                <w:rFonts w:hint="eastAsia" w:ascii="仿宋" w:hAnsi="仿宋" w:eastAsia="仿宋" w:cs="仿宋"/>
                <w:bCs/>
                <w:kern w:val="0"/>
                <w:sz w:val="24"/>
                <w:szCs w:val="24"/>
              </w:rPr>
              <w:t>分；AAAA级得</w:t>
            </w: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分；AAA级得</w:t>
            </w: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rPr>
              <w:t xml:space="preserve">分；AA级及以下不得分。 </w:t>
            </w:r>
          </w:p>
          <w:p w14:paraId="4FCCEA02">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2</w:t>
            </w:r>
            <w:r>
              <w:rPr>
                <w:rFonts w:hint="eastAsia" w:ascii="仿宋" w:hAnsi="仿宋" w:eastAsia="仿宋" w:cs="仿宋"/>
                <w:bCs/>
                <w:kern w:val="0"/>
                <w:sz w:val="24"/>
                <w:szCs w:val="24"/>
                <w:lang w:val="en-US" w:eastAsia="zh-CN"/>
              </w:rPr>
              <w:t>.</w:t>
            </w:r>
            <w:r>
              <w:rPr>
                <w:rFonts w:hint="eastAsia" w:ascii="仿宋" w:hAnsi="仿宋" w:eastAsia="仿宋" w:cs="仿宋"/>
                <w:bCs/>
                <w:kern w:val="0"/>
                <w:sz w:val="24"/>
                <w:szCs w:val="24"/>
              </w:rPr>
              <w:t>供应商进入四川省2024年会计师事务所综合评价百家排名前</w:t>
            </w: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rPr>
              <w:t>0名（含）得</w:t>
            </w:r>
            <w:r>
              <w:rPr>
                <w:rFonts w:hint="eastAsia" w:ascii="仿宋" w:hAnsi="仿宋" w:eastAsia="仿宋" w:cs="仿宋"/>
                <w:bCs/>
                <w:kern w:val="0"/>
                <w:sz w:val="24"/>
                <w:szCs w:val="24"/>
                <w:lang w:val="en-US" w:eastAsia="zh-CN"/>
              </w:rPr>
              <w:t>6</w:t>
            </w:r>
            <w:r>
              <w:rPr>
                <w:rFonts w:hint="eastAsia" w:ascii="仿宋" w:hAnsi="仿宋" w:eastAsia="仿宋" w:cs="仿宋"/>
                <w:bCs/>
                <w:kern w:val="0"/>
                <w:sz w:val="24"/>
                <w:szCs w:val="24"/>
              </w:rPr>
              <w:t>分，第</w:t>
            </w:r>
            <w:r>
              <w:rPr>
                <w:rFonts w:hint="eastAsia" w:ascii="仿宋" w:hAnsi="仿宋" w:eastAsia="仿宋" w:cs="仿宋"/>
                <w:bCs/>
                <w:kern w:val="0"/>
                <w:sz w:val="24"/>
                <w:szCs w:val="24"/>
                <w:lang w:val="en-US" w:eastAsia="zh-CN"/>
              </w:rPr>
              <w:t>20</w:t>
            </w:r>
            <w:r>
              <w:rPr>
                <w:rFonts w:hint="eastAsia" w:ascii="仿宋" w:hAnsi="仿宋" w:eastAsia="仿宋" w:cs="仿宋"/>
                <w:bCs/>
                <w:kern w:val="0"/>
                <w:sz w:val="24"/>
                <w:szCs w:val="24"/>
              </w:rPr>
              <w:t>名至</w:t>
            </w:r>
            <w:r>
              <w:rPr>
                <w:rFonts w:hint="eastAsia" w:ascii="仿宋" w:hAnsi="仿宋" w:eastAsia="仿宋" w:cs="仿宋"/>
                <w:bCs/>
                <w:kern w:val="0"/>
                <w:sz w:val="24"/>
                <w:szCs w:val="24"/>
                <w:lang w:val="en-US" w:eastAsia="zh-CN"/>
              </w:rPr>
              <w:t>5</w:t>
            </w:r>
            <w:r>
              <w:rPr>
                <w:rFonts w:hint="eastAsia" w:ascii="仿宋" w:hAnsi="仿宋" w:eastAsia="仿宋" w:cs="仿宋"/>
                <w:bCs/>
                <w:kern w:val="0"/>
                <w:sz w:val="24"/>
                <w:szCs w:val="24"/>
              </w:rPr>
              <w:t>0名</w:t>
            </w:r>
            <w:r>
              <w:rPr>
                <w:rFonts w:hint="eastAsia" w:ascii="仿宋" w:hAnsi="仿宋" w:eastAsia="仿宋" w:cs="仿宋"/>
                <w:bCs/>
                <w:kern w:val="0"/>
                <w:sz w:val="24"/>
                <w:szCs w:val="24"/>
                <w:lang w:eastAsia="zh-CN"/>
              </w:rPr>
              <w:t>（</w:t>
            </w:r>
            <w:r>
              <w:rPr>
                <w:rFonts w:hint="eastAsia" w:ascii="仿宋" w:hAnsi="仿宋" w:eastAsia="仿宋" w:cs="仿宋"/>
                <w:bCs/>
                <w:kern w:val="0"/>
                <w:sz w:val="24"/>
                <w:szCs w:val="24"/>
                <w:lang w:val="en-US" w:eastAsia="zh-CN"/>
              </w:rPr>
              <w:t>含</w:t>
            </w:r>
            <w:r>
              <w:rPr>
                <w:rFonts w:hint="eastAsia" w:ascii="仿宋" w:hAnsi="仿宋" w:eastAsia="仿宋" w:cs="仿宋"/>
                <w:bCs/>
                <w:kern w:val="0"/>
                <w:sz w:val="24"/>
                <w:szCs w:val="24"/>
                <w:lang w:eastAsia="zh-CN"/>
              </w:rPr>
              <w:t>）</w:t>
            </w:r>
            <w:r>
              <w:rPr>
                <w:rFonts w:hint="eastAsia" w:ascii="仿宋" w:hAnsi="仿宋" w:eastAsia="仿宋" w:cs="仿宋"/>
                <w:bCs/>
                <w:kern w:val="0"/>
                <w:sz w:val="24"/>
                <w:szCs w:val="24"/>
              </w:rPr>
              <w:t>得</w:t>
            </w:r>
            <w:r>
              <w:rPr>
                <w:rFonts w:hint="eastAsia" w:ascii="仿宋" w:hAnsi="仿宋" w:eastAsia="仿宋" w:cs="仿宋"/>
                <w:bCs/>
                <w:kern w:val="0"/>
                <w:sz w:val="24"/>
                <w:szCs w:val="24"/>
                <w:lang w:val="en-US" w:eastAsia="zh-CN"/>
              </w:rPr>
              <w:t>4</w:t>
            </w:r>
            <w:r>
              <w:rPr>
                <w:rFonts w:hint="eastAsia" w:ascii="仿宋" w:hAnsi="仿宋" w:eastAsia="仿宋" w:cs="仿宋"/>
                <w:bCs/>
                <w:kern w:val="0"/>
                <w:sz w:val="24"/>
                <w:szCs w:val="24"/>
              </w:rPr>
              <w:t>分，第50名</w:t>
            </w:r>
            <w:r>
              <w:rPr>
                <w:rFonts w:hint="eastAsia" w:ascii="仿宋" w:hAnsi="仿宋" w:eastAsia="仿宋" w:cs="仿宋"/>
                <w:bCs/>
                <w:kern w:val="0"/>
                <w:sz w:val="24"/>
                <w:szCs w:val="24"/>
                <w:lang w:val="en-US" w:eastAsia="zh-CN"/>
              </w:rPr>
              <w:t>以下</w:t>
            </w:r>
            <w:r>
              <w:rPr>
                <w:rFonts w:hint="eastAsia" w:ascii="仿宋" w:hAnsi="仿宋" w:eastAsia="仿宋" w:cs="仿宋"/>
                <w:bCs/>
                <w:kern w:val="0"/>
                <w:sz w:val="24"/>
                <w:szCs w:val="24"/>
              </w:rPr>
              <w:t>得</w:t>
            </w: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rPr>
              <w:t>分</w:t>
            </w:r>
            <w:r>
              <w:rPr>
                <w:rFonts w:hint="eastAsia" w:ascii="仿宋" w:hAnsi="仿宋" w:eastAsia="仿宋" w:cs="仿宋"/>
                <w:bCs/>
                <w:kern w:val="0"/>
                <w:sz w:val="24"/>
                <w:szCs w:val="24"/>
                <w:lang w:eastAsia="zh-CN"/>
              </w:rPr>
              <w:t>；</w:t>
            </w:r>
            <w:r>
              <w:rPr>
                <w:rFonts w:hint="eastAsia" w:ascii="仿宋" w:hAnsi="仿宋" w:eastAsia="仿宋" w:cs="仿宋"/>
                <w:bCs/>
                <w:kern w:val="0"/>
                <w:sz w:val="24"/>
                <w:szCs w:val="24"/>
                <w:lang w:val="en-US" w:eastAsia="zh-CN"/>
              </w:rPr>
              <w:t>未进入百强不得分</w:t>
            </w:r>
            <w:r>
              <w:rPr>
                <w:rFonts w:hint="eastAsia" w:ascii="仿宋" w:hAnsi="仿宋" w:eastAsia="仿宋" w:cs="仿宋"/>
                <w:bCs/>
                <w:kern w:val="0"/>
                <w:sz w:val="24"/>
                <w:szCs w:val="24"/>
              </w:rPr>
              <w:t>。</w:t>
            </w:r>
          </w:p>
        </w:tc>
        <w:tc>
          <w:tcPr>
            <w:tcW w:w="149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FBCCED0">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提供复印件（或网页截图）盖公章</w:t>
            </w:r>
          </w:p>
        </w:tc>
      </w:tr>
      <w:tr w14:paraId="78909FBE">
        <w:tblPrEx>
          <w:tblCellMar>
            <w:top w:w="0" w:type="dxa"/>
            <w:left w:w="0" w:type="dxa"/>
            <w:bottom w:w="0" w:type="dxa"/>
            <w:right w:w="0" w:type="dxa"/>
          </w:tblCellMar>
        </w:tblPrEx>
        <w:trPr>
          <w:trHeight w:val="775" w:hRule="atLeast"/>
        </w:trPr>
        <w:tc>
          <w:tcPr>
            <w:tcW w:w="60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F23AB8B">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5</w:t>
            </w:r>
          </w:p>
        </w:tc>
        <w:tc>
          <w:tcPr>
            <w:tcW w:w="131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5739316">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业绩</w:t>
            </w:r>
          </w:p>
        </w:tc>
        <w:tc>
          <w:tcPr>
            <w:tcW w:w="8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3BF9B4A">
            <w:pPr>
              <w:keepNext w:val="0"/>
              <w:keepLines w:val="0"/>
              <w:pageBreakBefore w:val="0"/>
              <w:widowControl w:val="0"/>
              <w:shd w:val="clear" w:color="auto"/>
              <w:kinsoku/>
              <w:wordWrap/>
              <w:overflowPunct/>
              <w:topLinePunct w:val="0"/>
              <w:autoSpaceDE/>
              <w:autoSpaceDN/>
              <w:bidi w:val="0"/>
              <w:adjustRightInd/>
              <w:snapToGrid/>
              <w:spacing w:line="280" w:lineRule="exact"/>
              <w:jc w:val="center"/>
              <w:textAlignment w:val="auto"/>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9</w:t>
            </w:r>
            <w:r>
              <w:rPr>
                <w:rFonts w:hint="eastAsia" w:ascii="仿宋" w:hAnsi="仿宋" w:eastAsia="仿宋" w:cs="仿宋"/>
                <w:bCs/>
                <w:kern w:val="0"/>
                <w:sz w:val="24"/>
                <w:szCs w:val="24"/>
              </w:rPr>
              <w:t>分</w:t>
            </w:r>
          </w:p>
        </w:tc>
        <w:tc>
          <w:tcPr>
            <w:tcW w:w="607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305EFE5">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供应商202</w:t>
            </w: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rPr>
              <w:t>年以来，具有三级公立医院审计业绩的，每个业绩的加</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分。</w:t>
            </w:r>
          </w:p>
        </w:tc>
        <w:tc>
          <w:tcPr>
            <w:tcW w:w="1498"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E2E6B00">
            <w:pPr>
              <w:keepNext w:val="0"/>
              <w:keepLines w:val="0"/>
              <w:pageBreakBefore w:val="0"/>
              <w:widowControl w:val="0"/>
              <w:shd w:val="clear" w:color="auto"/>
              <w:kinsoku/>
              <w:wordWrap/>
              <w:overflowPunct/>
              <w:topLinePunct w:val="0"/>
              <w:autoSpaceDE/>
              <w:autoSpaceDN/>
              <w:bidi w:val="0"/>
              <w:adjustRightInd/>
              <w:snapToGrid/>
              <w:spacing w:line="280" w:lineRule="exac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提供合同或发票复印件盖公章</w:t>
            </w:r>
          </w:p>
        </w:tc>
      </w:tr>
    </w:tbl>
    <w:p w14:paraId="611B991E">
      <w:pPr>
        <w:pStyle w:val="2"/>
        <w:keepNext w:val="0"/>
        <w:keepLines w:val="0"/>
        <w:pageBreakBefore w:val="0"/>
        <w:widowControl w:val="0"/>
        <w:kinsoku/>
        <w:wordWrap/>
        <w:overflowPunct/>
        <w:topLinePunct w:val="0"/>
        <w:autoSpaceDE/>
        <w:autoSpaceDN/>
        <w:bidi w:val="0"/>
        <w:adjustRightInd/>
        <w:snapToGrid/>
        <w:ind w:firstLine="482" w:firstLineChars="200"/>
        <w:textAlignment w:val="auto"/>
      </w:pPr>
      <w:r>
        <w:rPr>
          <w:rFonts w:hint="eastAsia" w:ascii="宋体" w:hAnsi="宋体" w:eastAsia="宋体" w:cs="宋体"/>
          <w:b/>
          <w:bCs/>
          <w:kern w:val="0"/>
          <w:sz w:val="24"/>
          <w:lang w:val="en-US" w:eastAsia="zh-CN"/>
        </w:rPr>
        <w:t>备注</w:t>
      </w:r>
      <w:r>
        <w:rPr>
          <w:rFonts w:hint="eastAsia" w:ascii="宋体" w:hAnsi="宋体" w:eastAsia="宋体" w:cs="宋体"/>
          <w:b/>
          <w:bCs/>
          <w:kern w:val="0"/>
          <w:sz w:val="24"/>
        </w:rPr>
        <w:t>：本章采购需求中标注“</w:t>
      </w:r>
      <w:bookmarkStart w:id="0" w:name="OLE_LINK6"/>
      <w:r>
        <w:rPr>
          <w:rFonts w:hint="eastAsia" w:ascii="宋体" w:hAnsi="宋体" w:eastAsia="宋体" w:cs="宋体"/>
          <w:b/>
          <w:bCs/>
          <w:kern w:val="0"/>
          <w:sz w:val="24"/>
        </w:rPr>
        <w:t>★</w:t>
      </w:r>
      <w:bookmarkEnd w:id="0"/>
      <w:r>
        <w:rPr>
          <w:rFonts w:hint="eastAsia" w:ascii="宋体" w:hAnsi="宋体" w:eastAsia="宋体" w:cs="宋体"/>
          <w:b/>
          <w:bCs/>
          <w:kern w:val="0"/>
          <w:sz w:val="24"/>
        </w:rPr>
        <w:t>”号的条款为本次采购项目的实质性要求供应商应全部满足</w:t>
      </w:r>
      <w:r>
        <w:rPr>
          <w:rFonts w:hint="eastAsia" w:ascii="宋体" w:hAnsi="宋体" w:eastAsia="宋体" w:cs="宋体"/>
          <w:b/>
          <w:bCs/>
          <w:kern w:val="0"/>
          <w:sz w:val="24"/>
          <w:lang w:eastAsia="zh-CN"/>
        </w:rPr>
        <w:t>。</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D9A"/>
    <w:rsid w:val="000E3091"/>
    <w:rsid w:val="000E6B3F"/>
    <w:rsid w:val="001136C4"/>
    <w:rsid w:val="00122AED"/>
    <w:rsid w:val="00125FB4"/>
    <w:rsid w:val="00185E25"/>
    <w:rsid w:val="001D278B"/>
    <w:rsid w:val="001D4A47"/>
    <w:rsid w:val="002D29B1"/>
    <w:rsid w:val="00367407"/>
    <w:rsid w:val="00372C5E"/>
    <w:rsid w:val="003C5126"/>
    <w:rsid w:val="003D6F11"/>
    <w:rsid w:val="003E4EB4"/>
    <w:rsid w:val="0044429F"/>
    <w:rsid w:val="00481F15"/>
    <w:rsid w:val="004F3B7B"/>
    <w:rsid w:val="005016BD"/>
    <w:rsid w:val="005A2F47"/>
    <w:rsid w:val="005C030F"/>
    <w:rsid w:val="005F13D0"/>
    <w:rsid w:val="00625E91"/>
    <w:rsid w:val="00632FCB"/>
    <w:rsid w:val="00637D9A"/>
    <w:rsid w:val="006D7FD8"/>
    <w:rsid w:val="006F050D"/>
    <w:rsid w:val="00715579"/>
    <w:rsid w:val="007539D8"/>
    <w:rsid w:val="007611C8"/>
    <w:rsid w:val="007D44EB"/>
    <w:rsid w:val="007F57F3"/>
    <w:rsid w:val="008A6056"/>
    <w:rsid w:val="008B7B88"/>
    <w:rsid w:val="009C5B5C"/>
    <w:rsid w:val="00A006BB"/>
    <w:rsid w:val="00A02AE4"/>
    <w:rsid w:val="00A36426"/>
    <w:rsid w:val="00B420FD"/>
    <w:rsid w:val="00B475BE"/>
    <w:rsid w:val="00B52C3A"/>
    <w:rsid w:val="00B73AD0"/>
    <w:rsid w:val="00B73F9D"/>
    <w:rsid w:val="00BA37C0"/>
    <w:rsid w:val="00BF370F"/>
    <w:rsid w:val="00C071A5"/>
    <w:rsid w:val="00CD7C24"/>
    <w:rsid w:val="00CE2CE8"/>
    <w:rsid w:val="00CF7248"/>
    <w:rsid w:val="00D23CF3"/>
    <w:rsid w:val="00D81853"/>
    <w:rsid w:val="00DA2E4D"/>
    <w:rsid w:val="00E12AB6"/>
    <w:rsid w:val="00E7383E"/>
    <w:rsid w:val="00F329B4"/>
    <w:rsid w:val="00F33256"/>
    <w:rsid w:val="00F53C5B"/>
    <w:rsid w:val="00F93721"/>
    <w:rsid w:val="03832DB2"/>
    <w:rsid w:val="078D279D"/>
    <w:rsid w:val="09315959"/>
    <w:rsid w:val="0B480A15"/>
    <w:rsid w:val="119728AA"/>
    <w:rsid w:val="1F7D72D4"/>
    <w:rsid w:val="21AD083C"/>
    <w:rsid w:val="22BA3705"/>
    <w:rsid w:val="3F1556CD"/>
    <w:rsid w:val="42BB46D3"/>
    <w:rsid w:val="4556777A"/>
    <w:rsid w:val="46616718"/>
    <w:rsid w:val="47A345EF"/>
    <w:rsid w:val="47F93FDF"/>
    <w:rsid w:val="4DCD1579"/>
    <w:rsid w:val="539A3A67"/>
    <w:rsid w:val="5D867B94"/>
    <w:rsid w:val="62690C66"/>
    <w:rsid w:val="63BF0040"/>
    <w:rsid w:val="68ED2281"/>
    <w:rsid w:val="697E6899"/>
    <w:rsid w:val="6F204E34"/>
    <w:rsid w:val="717D0C9B"/>
    <w:rsid w:val="74190D49"/>
    <w:rsid w:val="76FA50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line="315" w:lineRule="atLeast"/>
      <w:jc w:val="left"/>
      <w:outlineLvl w:val="0"/>
    </w:pPr>
    <w:rPr>
      <w:rFonts w:hint="eastAsia" w:ascii="宋体" w:hAnsi="宋体" w:eastAsia="宋体" w:cs="Times New Roman"/>
      <w:kern w:val="44"/>
      <w:sz w:val="39"/>
      <w:szCs w:val="39"/>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480" w:lineRule="exact"/>
    </w:pPr>
    <w:rPr>
      <w:rFonts w:ascii="仿宋_GB2312" w:eastAsia="仿宋_GB2312"/>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efault"/>
    <w:qFormat/>
    <w:uiPriority w:val="0"/>
    <w:pPr>
      <w:widowControl w:val="0"/>
      <w:autoSpaceDE w:val="0"/>
      <w:autoSpaceDN w:val="0"/>
      <w:adjustRightInd w:val="0"/>
    </w:pPr>
    <w:rPr>
      <w:rFonts w:ascii="黑体" w:hAnsi="Calibri" w:eastAsia="黑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2166</Words>
  <Characters>2260</Characters>
  <Lines>10</Lines>
  <Paragraphs>2</Paragraphs>
  <TotalTime>8</TotalTime>
  <ScaleCrop>false</ScaleCrop>
  <LinksUpToDate>false</LinksUpToDate>
  <CharactersWithSpaces>2262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dc:creator>
  <cp:lastModifiedBy>WPS_911694258</cp:lastModifiedBy>
  <cp:lastPrinted>2025-05-06T08:17:00Z</cp:lastPrinted>
  <dcterms:modified xsi:type="dcterms:W3CDTF">2025-05-12T08:34:50Z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eyJoZGlkIjoiOWNmMjk1MjgxZmFjNjdiYjc3NDMwMWE3YjlhMDU3MTgiLCJ1c2VySWQiOiI5MTE2OTQyNTgifQ==</vt:lpwstr>
  </property>
  <property fmtid="{D5CDD505-2E9C-101B-9397-08002B2CF9AE}" pid="4" name="ICV">
    <vt:lpwstr>1941AB234EBE4C73A3CC6C5A14DBDDF9_13</vt:lpwstr>
  </property>
</Properties>
</file>