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adjustRightInd w:val="0"/>
        <w:snapToGrid w:val="0"/>
        <w:spacing w:before="0" w:after="0" w:line="240" w:lineRule="auto"/>
        <w:jc w:val="center"/>
        <w:rPr>
          <w:rFonts w:hint="eastAsia" w:ascii="宋体" w:hAnsi="宋体" w:eastAsia="宋体" w:cs="宋体"/>
          <w:sz w:val="32"/>
          <w:szCs w:val="32"/>
        </w:rPr>
      </w:pPr>
    </w:p>
    <w:p>
      <w:pPr>
        <w:pStyle w:val="3"/>
        <w:widowControl/>
        <w:adjustRightInd w:val="0"/>
        <w:snapToGrid w:val="0"/>
        <w:spacing w:before="0" w:after="0" w:line="240" w:lineRule="auto"/>
        <w:jc w:val="center"/>
        <w:rPr>
          <w:rFonts w:eastAsia="Times New Roman"/>
          <w:sz w:val="32"/>
          <w:szCs w:val="32"/>
        </w:rPr>
      </w:pPr>
      <w:r>
        <w:rPr>
          <w:rFonts w:hint="eastAsia" w:ascii="宋体" w:hAnsi="宋体" w:eastAsia="宋体" w:cs="宋体"/>
          <w:sz w:val="32"/>
          <w:szCs w:val="32"/>
        </w:rPr>
        <w:t>大邑县人民医院</w:t>
      </w:r>
    </w:p>
    <w:p>
      <w:pPr>
        <w:pStyle w:val="3"/>
        <w:widowControl/>
        <w:adjustRightInd w:val="0"/>
        <w:snapToGrid w:val="0"/>
        <w:spacing w:before="0" w:after="0" w:line="24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日间输液椅、多功能超声医生专用椅和候诊椅</w:t>
      </w:r>
    </w:p>
    <w:p>
      <w:pPr>
        <w:pStyle w:val="3"/>
        <w:widowControl/>
        <w:adjustRightInd w:val="0"/>
        <w:snapToGrid w:val="0"/>
        <w:spacing w:before="0" w:after="0" w:line="240" w:lineRule="auto"/>
        <w:jc w:val="center"/>
        <w:rPr>
          <w:rFonts w:eastAsia="Times New Roman"/>
          <w:sz w:val="32"/>
          <w:szCs w:val="32"/>
        </w:rPr>
      </w:pPr>
      <w:r>
        <w:rPr>
          <w:rFonts w:hint="eastAsia" w:ascii="宋体" w:hAnsi="宋体" w:eastAsia="宋体" w:cs="宋体"/>
          <w:sz w:val="32"/>
          <w:szCs w:val="32"/>
        </w:rPr>
        <w:t>采购项目比选文件</w:t>
      </w:r>
    </w:p>
    <w:p/>
    <w:p>
      <w:pPr>
        <w:spacing w:line="360" w:lineRule="auto"/>
        <w:ind w:firstLine="482" w:firstLineChars="200"/>
      </w:pPr>
      <w:bookmarkStart w:id="0" w:name="_Toc414266428"/>
      <w:bookmarkStart w:id="1" w:name="_Toc25824"/>
      <w:bookmarkStart w:id="2" w:name="_Toc421277690"/>
      <w:bookmarkStart w:id="3" w:name="_Toc414266274"/>
      <w:bookmarkStart w:id="4" w:name="_Toc414614594"/>
      <w:bookmarkStart w:id="5" w:name="_Toc427148984"/>
      <w:r>
        <w:rPr>
          <w:rFonts w:hint="eastAsia" w:ascii="宋体" w:hAnsi="宋体" w:eastAsia="宋体" w:cs="宋体"/>
          <w:b/>
          <w:kern w:val="44"/>
          <w:sz w:val="24"/>
        </w:rPr>
        <w:t>一、项目名称：</w:t>
      </w:r>
      <w:r>
        <w:rPr>
          <w:rFonts w:hint="eastAsia" w:ascii="宋体" w:hAnsi="宋体" w:eastAsia="宋体" w:cs="宋体"/>
          <w:b w:val="0"/>
          <w:bCs w:val="0"/>
          <w:kern w:val="2"/>
          <w:sz w:val="24"/>
          <w:szCs w:val="24"/>
          <w:lang w:val="en-US" w:eastAsia="zh-CN" w:bidi="ar-SA"/>
        </w:rPr>
        <w:t>日间输液椅、多功能超声医生专用椅和候诊椅采购项目</w:t>
      </w:r>
    </w:p>
    <w:p>
      <w:pPr>
        <w:spacing w:line="360" w:lineRule="auto"/>
        <w:ind w:firstLine="482" w:firstLineChars="200"/>
        <w:rPr>
          <w:rFonts w:hint="eastAsia" w:ascii="??" w:hAnsi="??" w:eastAsia="宋体" w:cs="??"/>
          <w:b/>
          <w:bCs/>
          <w:sz w:val="24"/>
          <w:lang w:eastAsia="zh-CN"/>
        </w:rPr>
      </w:pPr>
      <w:r>
        <w:rPr>
          <w:rFonts w:hint="eastAsia" w:ascii="宋体" w:hAnsi="宋体" w:eastAsia="宋体" w:cs="宋体"/>
          <w:b/>
          <w:kern w:val="44"/>
          <w:sz w:val="24"/>
        </w:rPr>
        <w:t>二、预算金额</w:t>
      </w:r>
      <w:r>
        <w:rPr>
          <w:rFonts w:hint="eastAsia" w:ascii="宋体" w:hAnsi="宋体" w:eastAsia="宋体" w:cs="宋体"/>
          <w:b w:val="0"/>
          <w:bCs w:val="0"/>
          <w:sz w:val="24"/>
        </w:rPr>
        <w:t>：</w:t>
      </w:r>
      <w:r>
        <w:rPr>
          <w:rFonts w:hint="eastAsia" w:ascii="宋体" w:hAnsi="宋体" w:eastAsia="宋体" w:cs="宋体"/>
          <w:b w:val="0"/>
          <w:bCs w:val="0"/>
          <w:sz w:val="24"/>
          <w:lang w:val="en-US" w:eastAsia="zh-CN"/>
        </w:rPr>
        <w:t>21570.00</w:t>
      </w:r>
      <w:r>
        <w:rPr>
          <w:rFonts w:hint="eastAsia" w:ascii="宋体" w:hAnsi="宋体" w:eastAsia="宋体" w:cs="宋体"/>
          <w:sz w:val="24"/>
        </w:rPr>
        <w:t>元</w:t>
      </w:r>
    </w:p>
    <w:p>
      <w:pPr>
        <w:spacing w:line="360" w:lineRule="auto"/>
        <w:ind w:firstLine="482" w:firstLineChars="200"/>
        <w:rPr>
          <w:b/>
          <w:kern w:val="44"/>
          <w:sz w:val="24"/>
        </w:rPr>
      </w:pPr>
      <w:r>
        <w:rPr>
          <w:rFonts w:hint="eastAsia" w:ascii="宋体" w:hAnsi="宋体" w:eastAsia="宋体" w:cs="宋体"/>
          <w:b/>
          <w:kern w:val="44"/>
          <w:sz w:val="24"/>
        </w:rPr>
        <w:t>三、</w:t>
      </w:r>
      <w:bookmarkEnd w:id="0"/>
      <w:bookmarkEnd w:id="1"/>
      <w:bookmarkEnd w:id="2"/>
      <w:bookmarkEnd w:id="3"/>
      <w:bookmarkEnd w:id="4"/>
      <w:bookmarkEnd w:id="5"/>
      <w:r>
        <w:rPr>
          <w:rFonts w:hint="eastAsia" w:ascii="宋体" w:hAnsi="宋体" w:eastAsia="宋体" w:cs="宋体"/>
          <w:b/>
          <w:kern w:val="44"/>
          <w:sz w:val="24"/>
        </w:rPr>
        <w:t>产品清单及技术参数</w:t>
      </w:r>
    </w:p>
    <w:p>
      <w:pPr>
        <w:pStyle w:val="2"/>
        <w:spacing w:after="0" w:line="360" w:lineRule="auto"/>
        <w:ind w:firstLine="482" w:firstLineChars="200"/>
      </w:pPr>
      <w:r>
        <w:rPr>
          <w:b/>
          <w:kern w:val="44"/>
          <w:sz w:val="24"/>
        </w:rPr>
        <w:t>1.</w:t>
      </w:r>
      <w:r>
        <w:rPr>
          <w:rFonts w:hint="eastAsia" w:ascii="宋体" w:hAnsi="宋体" w:eastAsia="宋体" w:cs="宋体"/>
          <w:b/>
          <w:kern w:val="44"/>
          <w:sz w:val="24"/>
        </w:rPr>
        <w:t>产品清单</w:t>
      </w:r>
    </w:p>
    <w:tbl>
      <w:tblPr>
        <w:tblStyle w:val="9"/>
        <w:tblW w:w="9207" w:type="dxa"/>
        <w:jc w:val="center"/>
        <w:tblInd w:w="0" w:type="dxa"/>
        <w:tblLayout w:type="fixed"/>
        <w:tblCellMar>
          <w:top w:w="0" w:type="dxa"/>
          <w:left w:w="108" w:type="dxa"/>
          <w:bottom w:w="0" w:type="dxa"/>
          <w:right w:w="108" w:type="dxa"/>
        </w:tblCellMar>
      </w:tblPr>
      <w:tblGrid>
        <w:gridCol w:w="798"/>
        <w:gridCol w:w="2412"/>
        <w:gridCol w:w="2400"/>
        <w:gridCol w:w="927"/>
        <w:gridCol w:w="825"/>
        <w:gridCol w:w="1845"/>
      </w:tblGrid>
      <w:tr>
        <w:tblPrEx>
          <w:tblLayout w:type="fixed"/>
          <w:tblCellMar>
            <w:top w:w="0" w:type="dxa"/>
            <w:left w:w="108" w:type="dxa"/>
            <w:bottom w:w="0" w:type="dxa"/>
            <w:right w:w="108" w:type="dxa"/>
          </w:tblCellMar>
        </w:tblPrEx>
        <w:trPr>
          <w:trHeight w:val="595" w:hRule="atLeast"/>
          <w:jc w:val="center"/>
        </w:trPr>
        <w:tc>
          <w:tcPr>
            <w:tcW w:w="798"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 w:hAnsi="??" w:cs="??"/>
                <w:b/>
                <w:bCs/>
                <w:color w:val="000000"/>
                <w:kern w:val="0"/>
                <w:szCs w:val="21"/>
              </w:rPr>
            </w:pPr>
            <w:r>
              <w:rPr>
                <w:rFonts w:hint="eastAsia" w:ascii="宋体" w:hAnsi="宋体" w:eastAsia="宋体" w:cs="宋体"/>
                <w:b/>
                <w:bCs/>
                <w:color w:val="000000"/>
                <w:kern w:val="0"/>
                <w:szCs w:val="21"/>
              </w:rPr>
              <w:t>序号</w:t>
            </w:r>
          </w:p>
        </w:tc>
        <w:tc>
          <w:tcPr>
            <w:tcW w:w="2412" w:type="dxa"/>
            <w:tcBorders>
              <w:top w:val="single" w:color="auto" w:sz="8" w:space="0"/>
              <w:left w:val="nil"/>
              <w:bottom w:val="single" w:color="auto" w:sz="8" w:space="0"/>
              <w:right w:val="single" w:color="auto" w:sz="8" w:space="0"/>
            </w:tcBorders>
            <w:noWrap/>
            <w:vAlign w:val="center"/>
          </w:tcPr>
          <w:p>
            <w:pPr>
              <w:widowControl/>
              <w:jc w:val="center"/>
              <w:rPr>
                <w:rFonts w:ascii="??" w:hAnsi="??" w:cs="??"/>
                <w:b/>
                <w:bCs/>
                <w:color w:val="000000"/>
                <w:kern w:val="0"/>
                <w:szCs w:val="21"/>
              </w:rPr>
            </w:pPr>
            <w:r>
              <w:rPr>
                <w:rFonts w:hint="eastAsia" w:ascii="宋体" w:hAnsi="宋体" w:eastAsia="宋体" w:cs="宋体"/>
                <w:b/>
                <w:bCs/>
                <w:color w:val="000000"/>
                <w:kern w:val="0"/>
                <w:szCs w:val="21"/>
              </w:rPr>
              <w:t>名称</w:t>
            </w:r>
          </w:p>
        </w:tc>
        <w:tc>
          <w:tcPr>
            <w:tcW w:w="2400" w:type="dxa"/>
            <w:tcBorders>
              <w:top w:val="single" w:color="auto" w:sz="8" w:space="0"/>
              <w:left w:val="nil"/>
              <w:bottom w:val="nil"/>
              <w:right w:val="single" w:color="auto" w:sz="8" w:space="0"/>
            </w:tcBorders>
            <w:vAlign w:val="center"/>
          </w:tcPr>
          <w:p>
            <w:pPr>
              <w:widowControl/>
              <w:jc w:val="center"/>
              <w:rPr>
                <w:rFonts w:ascii="??" w:hAnsi="??" w:cs="??"/>
                <w:b/>
                <w:bCs/>
                <w:color w:val="000000"/>
                <w:kern w:val="0"/>
                <w:szCs w:val="21"/>
              </w:rPr>
            </w:pPr>
            <w:r>
              <w:rPr>
                <w:rFonts w:hint="eastAsia" w:ascii="宋体" w:hAnsi="宋体" w:eastAsia="宋体" w:cs="宋体"/>
                <w:b/>
                <w:bCs/>
                <w:color w:val="000000"/>
                <w:kern w:val="0"/>
                <w:szCs w:val="21"/>
              </w:rPr>
              <w:t>规格</w:t>
            </w:r>
          </w:p>
        </w:tc>
        <w:tc>
          <w:tcPr>
            <w:tcW w:w="927" w:type="dxa"/>
            <w:tcBorders>
              <w:top w:val="single" w:color="auto" w:sz="8" w:space="0"/>
              <w:left w:val="nil"/>
              <w:bottom w:val="nil"/>
              <w:right w:val="single" w:color="auto" w:sz="8" w:space="0"/>
            </w:tcBorders>
            <w:vAlign w:val="center"/>
          </w:tcPr>
          <w:p>
            <w:pPr>
              <w:widowControl/>
              <w:jc w:val="center"/>
              <w:rPr>
                <w:rFonts w:ascii="??" w:hAnsi="??" w:cs="??"/>
                <w:b/>
                <w:bCs/>
                <w:color w:val="000000"/>
                <w:kern w:val="0"/>
                <w:szCs w:val="21"/>
              </w:rPr>
            </w:pPr>
            <w:r>
              <w:rPr>
                <w:rFonts w:hint="eastAsia" w:ascii="宋体" w:hAnsi="宋体" w:eastAsia="宋体" w:cs="宋体"/>
                <w:b/>
                <w:bCs/>
                <w:color w:val="000000"/>
                <w:kern w:val="0"/>
                <w:szCs w:val="21"/>
              </w:rPr>
              <w:t>数量</w:t>
            </w:r>
          </w:p>
        </w:tc>
        <w:tc>
          <w:tcPr>
            <w:tcW w:w="825" w:type="dxa"/>
            <w:tcBorders>
              <w:top w:val="single" w:color="auto" w:sz="8" w:space="0"/>
              <w:left w:val="nil"/>
              <w:bottom w:val="nil"/>
              <w:right w:val="single" w:color="auto" w:sz="8" w:space="0"/>
            </w:tcBorders>
            <w:vAlign w:val="center"/>
          </w:tcPr>
          <w:p>
            <w:pPr>
              <w:widowControl/>
              <w:jc w:val="center"/>
              <w:rPr>
                <w:rFonts w:ascii="??" w:hAnsi="??" w:cs="??"/>
                <w:b/>
                <w:bCs/>
                <w:color w:val="000000"/>
                <w:kern w:val="0"/>
                <w:szCs w:val="21"/>
              </w:rPr>
            </w:pPr>
            <w:r>
              <w:rPr>
                <w:rFonts w:hint="eastAsia" w:ascii="宋体" w:hAnsi="宋体" w:eastAsia="宋体" w:cs="宋体"/>
                <w:b/>
                <w:bCs/>
                <w:color w:val="000000"/>
                <w:kern w:val="0"/>
                <w:szCs w:val="21"/>
              </w:rPr>
              <w:t>单位</w:t>
            </w:r>
          </w:p>
        </w:tc>
        <w:tc>
          <w:tcPr>
            <w:tcW w:w="18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 w:hAnsi="??" w:cs="??"/>
                <w:b/>
                <w:bCs/>
                <w:color w:val="000000"/>
                <w:kern w:val="0"/>
                <w:szCs w:val="21"/>
              </w:rPr>
            </w:pPr>
            <w:r>
              <w:rPr>
                <w:rFonts w:hint="eastAsia" w:ascii="宋体" w:hAnsi="宋体" w:eastAsia="宋体" w:cs="宋体"/>
                <w:b/>
                <w:bCs/>
                <w:color w:val="000000"/>
                <w:kern w:val="0"/>
                <w:szCs w:val="21"/>
              </w:rPr>
              <w:t>单价限价（元）</w:t>
            </w:r>
          </w:p>
        </w:tc>
      </w:tr>
      <w:tr>
        <w:tblPrEx>
          <w:tblLayout w:type="fixed"/>
          <w:tblCellMar>
            <w:top w:w="0" w:type="dxa"/>
            <w:left w:w="108" w:type="dxa"/>
            <w:bottom w:w="0" w:type="dxa"/>
            <w:right w:w="108" w:type="dxa"/>
          </w:tblCellMar>
        </w:tblPrEx>
        <w:trPr>
          <w:trHeight w:val="481" w:hRule="atLeast"/>
          <w:jc w:val="center"/>
        </w:trPr>
        <w:tc>
          <w:tcPr>
            <w:tcW w:w="798" w:type="dxa"/>
            <w:tcBorders>
              <w:top w:val="nil"/>
              <w:left w:val="single" w:color="auto" w:sz="8" w:space="0"/>
              <w:bottom w:val="single" w:color="auto" w:sz="8" w:space="0"/>
              <w:right w:val="single" w:color="auto" w:sz="8" w:space="0"/>
            </w:tcBorders>
            <w:noWrap/>
            <w:vAlign w:val="center"/>
          </w:tcPr>
          <w:p>
            <w:pPr>
              <w:widowControl/>
              <w:jc w:val="center"/>
              <w:rPr>
                <w:rFonts w:ascii="??" w:hAnsi="??" w:cs="??"/>
                <w:color w:val="000000"/>
                <w:kern w:val="0"/>
                <w:szCs w:val="21"/>
              </w:rPr>
            </w:pPr>
            <w:r>
              <w:rPr>
                <w:rFonts w:ascii="??" w:hAnsi="??" w:cs="??"/>
                <w:color w:val="000000"/>
                <w:kern w:val="0"/>
                <w:szCs w:val="21"/>
              </w:rPr>
              <w:t>1</w:t>
            </w:r>
          </w:p>
        </w:tc>
        <w:tc>
          <w:tcPr>
            <w:tcW w:w="2412" w:type="dxa"/>
            <w:tcBorders>
              <w:top w:val="nil"/>
              <w:left w:val="nil"/>
              <w:bottom w:val="single" w:color="auto" w:sz="8" w:space="0"/>
              <w:right w:val="single" w:color="auto" w:sz="8" w:space="0"/>
            </w:tcBorders>
            <w:noWrap/>
            <w:vAlign w:val="center"/>
          </w:tcPr>
          <w:p>
            <w:pPr>
              <w:widowControl/>
              <w:jc w:val="center"/>
              <w:rPr>
                <w:rFonts w:ascii="??" w:hAnsi="??" w:cs="??"/>
                <w:color w:val="000000"/>
                <w:kern w:val="0"/>
                <w:szCs w:val="21"/>
              </w:rPr>
            </w:pPr>
            <w:r>
              <w:rPr>
                <w:rFonts w:hint="eastAsia" w:ascii="宋体" w:hAnsi="宋体" w:cs="宋体"/>
                <w:b w:val="0"/>
                <w:bCs w:val="0"/>
                <w:color w:val="000000"/>
                <w:kern w:val="0"/>
                <w:sz w:val="21"/>
                <w:szCs w:val="21"/>
                <w:lang w:val="en-US" w:eastAsia="zh-CN"/>
              </w:rPr>
              <w:t>日间输液椅</w:t>
            </w:r>
          </w:p>
        </w:tc>
        <w:tc>
          <w:tcPr>
            <w:tcW w:w="2400" w:type="dxa"/>
            <w:tcBorders>
              <w:top w:val="single" w:color="auto" w:sz="8" w:space="0"/>
              <w:left w:val="nil"/>
              <w:bottom w:val="single" w:color="auto" w:sz="8" w:space="0"/>
              <w:right w:val="single" w:color="auto" w:sz="8" w:space="0"/>
            </w:tcBorders>
            <w:noWrap/>
            <w:vAlign w:val="center"/>
          </w:tcPr>
          <w:p>
            <w:pPr>
              <w:widowControl/>
              <w:jc w:val="center"/>
              <w:rPr>
                <w:rFonts w:ascii="??" w:hAnsi="??" w:cs="??"/>
                <w:color w:val="000000"/>
                <w:kern w:val="0"/>
                <w:szCs w:val="21"/>
              </w:rPr>
            </w:pPr>
            <w:r>
              <w:rPr>
                <w:rFonts w:ascii="??" w:hAnsi="??" w:cs="??"/>
                <w:color w:val="000000"/>
                <w:kern w:val="0"/>
                <w:szCs w:val="21"/>
              </w:rPr>
              <w:t>650*700*1160mm</w:t>
            </w:r>
            <w:r>
              <w:rPr>
                <w:rFonts w:hint="eastAsia" w:ascii="宋体" w:hAnsi="宋体" w:eastAsia="宋体" w:cs="宋体"/>
                <w:color w:val="000000"/>
                <w:kern w:val="0"/>
                <w:szCs w:val="21"/>
              </w:rPr>
              <w:t>（</w:t>
            </w:r>
            <w:r>
              <w:rPr>
                <w:rFonts w:ascii="??" w:hAnsi="??" w:cs="??"/>
                <w:color w:val="000000"/>
                <w:kern w:val="0"/>
                <w:szCs w:val="21"/>
              </w:rPr>
              <w:t>±10</w:t>
            </w:r>
            <w:r>
              <w:rPr>
                <w:rFonts w:hint="eastAsia" w:ascii="宋体" w:hAnsi="宋体" w:eastAsia="宋体" w:cs="宋体"/>
                <w:color w:val="000000"/>
                <w:kern w:val="0"/>
                <w:szCs w:val="21"/>
              </w:rPr>
              <w:t>）</w:t>
            </w:r>
          </w:p>
        </w:tc>
        <w:tc>
          <w:tcPr>
            <w:tcW w:w="927" w:type="dxa"/>
            <w:tcBorders>
              <w:top w:val="single" w:color="auto" w:sz="8" w:space="0"/>
              <w:left w:val="nil"/>
              <w:bottom w:val="single" w:color="auto" w:sz="8" w:space="0"/>
              <w:right w:val="single" w:color="auto" w:sz="8" w:space="0"/>
            </w:tcBorders>
            <w:noWrap/>
            <w:vAlign w:val="center"/>
          </w:tcPr>
          <w:p>
            <w:pPr>
              <w:widowControl/>
              <w:jc w:val="center"/>
              <w:rPr>
                <w:rFonts w:ascii="??" w:hAnsi="??" w:cs="??"/>
                <w:color w:val="000000"/>
                <w:kern w:val="0"/>
                <w:szCs w:val="21"/>
              </w:rPr>
            </w:pPr>
            <w:r>
              <w:rPr>
                <w:rFonts w:ascii="??" w:hAnsi="??" w:cs="??"/>
                <w:color w:val="000000"/>
                <w:kern w:val="0"/>
                <w:szCs w:val="21"/>
              </w:rPr>
              <w:t>10</w:t>
            </w:r>
          </w:p>
        </w:tc>
        <w:tc>
          <w:tcPr>
            <w:tcW w:w="825" w:type="dxa"/>
            <w:tcBorders>
              <w:top w:val="single" w:color="auto" w:sz="8" w:space="0"/>
              <w:left w:val="nil"/>
              <w:bottom w:val="single" w:color="auto" w:sz="8" w:space="0"/>
              <w:right w:val="single" w:color="auto" w:sz="8" w:space="0"/>
            </w:tcBorders>
            <w:noWrap/>
            <w:vAlign w:val="center"/>
          </w:tcPr>
          <w:p>
            <w:pPr>
              <w:widowControl/>
              <w:jc w:val="center"/>
              <w:rPr>
                <w:rFonts w:ascii="??" w:hAnsi="??" w:cs="??"/>
                <w:color w:val="000000"/>
                <w:kern w:val="0"/>
                <w:szCs w:val="21"/>
              </w:rPr>
            </w:pPr>
            <w:r>
              <w:rPr>
                <w:rFonts w:hint="eastAsia" w:ascii="宋体" w:hAnsi="宋体" w:eastAsia="宋体" w:cs="宋体"/>
                <w:color w:val="000000"/>
                <w:kern w:val="0"/>
                <w:szCs w:val="21"/>
              </w:rPr>
              <w:t>把</w:t>
            </w:r>
          </w:p>
        </w:tc>
        <w:tc>
          <w:tcPr>
            <w:tcW w:w="1845" w:type="dxa"/>
            <w:tcBorders>
              <w:top w:val="nil"/>
              <w:left w:val="single" w:color="auto" w:sz="8" w:space="0"/>
              <w:bottom w:val="single" w:color="auto" w:sz="8" w:space="0"/>
              <w:right w:val="single" w:color="auto" w:sz="8" w:space="0"/>
            </w:tcBorders>
            <w:vAlign w:val="center"/>
          </w:tcPr>
          <w:p>
            <w:pPr>
              <w:widowControl/>
              <w:jc w:val="center"/>
              <w:rPr>
                <w:rFonts w:hint="default" w:ascii="??" w:hAnsi="??" w:eastAsia="??" w:cs="??"/>
                <w:color w:val="000000"/>
                <w:kern w:val="0"/>
                <w:szCs w:val="21"/>
                <w:lang w:val="en-US" w:eastAsia="zh-CN"/>
              </w:rPr>
            </w:pPr>
            <w:r>
              <w:rPr>
                <w:rFonts w:hint="eastAsia" w:ascii="??" w:hAnsi="??" w:cs="??"/>
                <w:color w:val="000000"/>
                <w:kern w:val="0"/>
                <w:szCs w:val="21"/>
                <w:lang w:val="en-US" w:eastAsia="zh-CN"/>
              </w:rPr>
              <w:t>1200.00</w:t>
            </w:r>
          </w:p>
        </w:tc>
      </w:tr>
      <w:tr>
        <w:tblPrEx>
          <w:tblLayout w:type="fixed"/>
          <w:tblCellMar>
            <w:top w:w="0" w:type="dxa"/>
            <w:left w:w="108" w:type="dxa"/>
            <w:bottom w:w="0" w:type="dxa"/>
            <w:right w:w="108" w:type="dxa"/>
          </w:tblCellMar>
        </w:tblPrEx>
        <w:trPr>
          <w:trHeight w:val="460" w:hRule="atLeast"/>
          <w:jc w:val="center"/>
        </w:trPr>
        <w:tc>
          <w:tcPr>
            <w:tcW w:w="798" w:type="dxa"/>
            <w:tcBorders>
              <w:top w:val="nil"/>
              <w:left w:val="single" w:color="auto" w:sz="8" w:space="0"/>
              <w:bottom w:val="single" w:color="auto" w:sz="4" w:space="0"/>
              <w:right w:val="single" w:color="auto" w:sz="8" w:space="0"/>
            </w:tcBorders>
            <w:noWrap/>
            <w:vAlign w:val="center"/>
          </w:tcPr>
          <w:p>
            <w:pPr>
              <w:widowControl/>
              <w:jc w:val="center"/>
              <w:rPr>
                <w:rFonts w:ascii="??" w:hAnsi="??" w:cs="??"/>
                <w:color w:val="000000"/>
                <w:kern w:val="0"/>
                <w:szCs w:val="21"/>
              </w:rPr>
            </w:pPr>
            <w:r>
              <w:rPr>
                <w:rFonts w:ascii="??" w:hAnsi="??" w:cs="??"/>
                <w:color w:val="000000"/>
                <w:kern w:val="0"/>
                <w:szCs w:val="21"/>
              </w:rPr>
              <w:t>2</w:t>
            </w:r>
          </w:p>
        </w:tc>
        <w:tc>
          <w:tcPr>
            <w:tcW w:w="2412" w:type="dxa"/>
            <w:tcBorders>
              <w:top w:val="nil"/>
              <w:left w:val="nil"/>
              <w:bottom w:val="single" w:color="auto" w:sz="4" w:space="0"/>
              <w:right w:val="single" w:color="auto" w:sz="8" w:space="0"/>
            </w:tcBorders>
            <w:noWrap/>
            <w:vAlign w:val="center"/>
          </w:tcPr>
          <w:p>
            <w:pPr>
              <w:widowControl/>
              <w:jc w:val="center"/>
              <w:rPr>
                <w:rFonts w:hint="eastAsia" w:ascii="宋体" w:hAnsi="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多功能超声医生专用椅</w:t>
            </w:r>
          </w:p>
        </w:tc>
        <w:tc>
          <w:tcPr>
            <w:tcW w:w="2400" w:type="dxa"/>
            <w:tcBorders>
              <w:top w:val="nil"/>
              <w:left w:val="nil"/>
              <w:bottom w:val="single" w:color="auto" w:sz="4" w:space="0"/>
              <w:right w:val="single" w:color="auto" w:sz="8" w:space="0"/>
            </w:tcBorders>
            <w:noWrap/>
            <w:vAlign w:val="center"/>
          </w:tcPr>
          <w:p>
            <w:pPr>
              <w:widowControl/>
              <w:jc w:val="center"/>
              <w:rPr>
                <w:rFonts w:ascii="??" w:hAnsi="??" w:cs="??"/>
                <w:color w:val="000000"/>
                <w:kern w:val="0"/>
                <w:szCs w:val="21"/>
              </w:rPr>
            </w:pPr>
            <w:r>
              <w:rPr>
                <w:rFonts w:ascii="??" w:hAnsi="??" w:cs="??"/>
                <w:color w:val="000000"/>
                <w:kern w:val="0"/>
                <w:szCs w:val="21"/>
              </w:rPr>
              <w:t>630*630*920-1070mm</w:t>
            </w:r>
            <w:r>
              <w:rPr>
                <w:rFonts w:hint="eastAsia" w:ascii="宋体" w:hAnsi="宋体" w:eastAsia="宋体" w:cs="宋体"/>
                <w:color w:val="000000"/>
                <w:kern w:val="0"/>
                <w:szCs w:val="21"/>
              </w:rPr>
              <w:t>（</w:t>
            </w:r>
            <w:r>
              <w:rPr>
                <w:rFonts w:ascii="??" w:hAnsi="??" w:cs="??"/>
                <w:color w:val="000000"/>
                <w:kern w:val="0"/>
                <w:szCs w:val="21"/>
              </w:rPr>
              <w:t>±10</w:t>
            </w:r>
            <w:r>
              <w:rPr>
                <w:rFonts w:hint="eastAsia" w:ascii="宋体" w:hAnsi="宋体" w:eastAsia="宋体" w:cs="宋体"/>
                <w:color w:val="000000"/>
                <w:kern w:val="0"/>
                <w:szCs w:val="21"/>
              </w:rPr>
              <w:t>）</w:t>
            </w:r>
          </w:p>
        </w:tc>
        <w:tc>
          <w:tcPr>
            <w:tcW w:w="927" w:type="dxa"/>
            <w:tcBorders>
              <w:top w:val="nil"/>
              <w:left w:val="nil"/>
              <w:bottom w:val="single" w:color="auto" w:sz="4" w:space="0"/>
              <w:right w:val="single" w:color="auto" w:sz="8" w:space="0"/>
            </w:tcBorders>
            <w:noWrap/>
            <w:vAlign w:val="center"/>
          </w:tcPr>
          <w:p>
            <w:pPr>
              <w:widowControl/>
              <w:jc w:val="center"/>
              <w:rPr>
                <w:rFonts w:ascii="??" w:hAnsi="??" w:cs="??"/>
                <w:color w:val="000000"/>
                <w:kern w:val="0"/>
                <w:szCs w:val="21"/>
              </w:rPr>
            </w:pPr>
            <w:r>
              <w:rPr>
                <w:rFonts w:ascii="??" w:hAnsi="??" w:cs="??"/>
                <w:color w:val="000000"/>
                <w:kern w:val="0"/>
                <w:szCs w:val="21"/>
              </w:rPr>
              <w:t>5</w:t>
            </w:r>
          </w:p>
        </w:tc>
        <w:tc>
          <w:tcPr>
            <w:tcW w:w="825" w:type="dxa"/>
            <w:tcBorders>
              <w:top w:val="nil"/>
              <w:left w:val="nil"/>
              <w:bottom w:val="single" w:color="auto" w:sz="4" w:space="0"/>
              <w:right w:val="single" w:color="auto" w:sz="8" w:space="0"/>
            </w:tcBorders>
            <w:noWrap/>
            <w:vAlign w:val="center"/>
          </w:tcPr>
          <w:p>
            <w:pPr>
              <w:widowControl/>
              <w:jc w:val="center"/>
              <w:rPr>
                <w:rFonts w:ascii="??" w:hAnsi="??" w:cs="??"/>
                <w:color w:val="000000"/>
                <w:kern w:val="0"/>
                <w:szCs w:val="21"/>
              </w:rPr>
            </w:pPr>
            <w:r>
              <w:rPr>
                <w:rFonts w:hint="eastAsia" w:ascii="宋体" w:hAnsi="宋体" w:eastAsia="宋体" w:cs="宋体"/>
                <w:color w:val="000000"/>
                <w:kern w:val="0"/>
                <w:szCs w:val="21"/>
              </w:rPr>
              <w:t>把</w:t>
            </w:r>
          </w:p>
        </w:tc>
        <w:tc>
          <w:tcPr>
            <w:tcW w:w="1845" w:type="dxa"/>
            <w:tcBorders>
              <w:top w:val="nil"/>
              <w:left w:val="single" w:color="auto" w:sz="8" w:space="0"/>
              <w:bottom w:val="single" w:color="auto" w:sz="4" w:space="0"/>
              <w:right w:val="single" w:color="auto" w:sz="8" w:space="0"/>
            </w:tcBorders>
            <w:vAlign w:val="center"/>
          </w:tcPr>
          <w:p>
            <w:pPr>
              <w:widowControl/>
              <w:jc w:val="center"/>
              <w:rPr>
                <w:rFonts w:hint="default" w:ascii="??" w:hAnsi="??" w:eastAsia="??" w:cs="??"/>
                <w:color w:val="000000"/>
                <w:kern w:val="0"/>
                <w:szCs w:val="21"/>
                <w:lang w:val="en-US" w:eastAsia="zh-CN"/>
              </w:rPr>
            </w:pPr>
            <w:r>
              <w:rPr>
                <w:rFonts w:hint="eastAsia" w:ascii="??" w:hAnsi="??" w:cs="??"/>
                <w:color w:val="000000"/>
                <w:kern w:val="0"/>
                <w:szCs w:val="21"/>
                <w:lang w:val="en-US" w:eastAsia="zh-CN"/>
              </w:rPr>
              <w:t>1600.00</w:t>
            </w:r>
          </w:p>
        </w:tc>
      </w:tr>
      <w:tr>
        <w:tblPrEx>
          <w:tblLayout w:type="fixed"/>
          <w:tblCellMar>
            <w:top w:w="0" w:type="dxa"/>
            <w:left w:w="108" w:type="dxa"/>
            <w:bottom w:w="0" w:type="dxa"/>
            <w:right w:w="108" w:type="dxa"/>
          </w:tblCellMar>
        </w:tblPrEx>
        <w:trPr>
          <w:trHeight w:val="452" w:hRule="atLeast"/>
          <w:jc w:val="center"/>
        </w:trPr>
        <w:tc>
          <w:tcPr>
            <w:tcW w:w="798" w:type="dxa"/>
            <w:tcBorders>
              <w:top w:val="nil"/>
              <w:left w:val="single" w:color="auto" w:sz="8" w:space="0"/>
              <w:bottom w:val="single" w:color="auto" w:sz="4" w:space="0"/>
              <w:right w:val="single" w:color="auto" w:sz="8" w:space="0"/>
            </w:tcBorders>
            <w:noWrap/>
            <w:vAlign w:val="center"/>
          </w:tcPr>
          <w:p>
            <w:pPr>
              <w:widowControl/>
              <w:jc w:val="center"/>
              <w:rPr>
                <w:rFonts w:ascii="??" w:hAnsi="??" w:cs="??"/>
                <w:color w:val="000000"/>
                <w:kern w:val="0"/>
                <w:szCs w:val="21"/>
              </w:rPr>
            </w:pPr>
            <w:r>
              <w:rPr>
                <w:rFonts w:ascii="??" w:hAnsi="??" w:cs="??"/>
                <w:color w:val="000000"/>
                <w:kern w:val="0"/>
                <w:szCs w:val="21"/>
              </w:rPr>
              <w:t>3</w:t>
            </w:r>
          </w:p>
        </w:tc>
        <w:tc>
          <w:tcPr>
            <w:tcW w:w="2412" w:type="dxa"/>
            <w:tcBorders>
              <w:top w:val="nil"/>
              <w:left w:val="nil"/>
              <w:bottom w:val="single" w:color="auto" w:sz="4" w:space="0"/>
              <w:right w:val="single" w:color="auto" w:sz="8" w:space="0"/>
            </w:tcBorders>
            <w:noWrap/>
            <w:vAlign w:val="center"/>
          </w:tcPr>
          <w:p>
            <w:pPr>
              <w:widowControl/>
              <w:jc w:val="center"/>
              <w:rPr>
                <w:rFonts w:ascii="??" w:hAnsi="??" w:cs="??"/>
                <w:color w:val="000000"/>
                <w:kern w:val="0"/>
                <w:szCs w:val="21"/>
              </w:rPr>
            </w:pPr>
            <w:r>
              <w:rPr>
                <w:rFonts w:hint="eastAsia" w:ascii="宋体" w:hAnsi="宋体" w:cs="宋体"/>
                <w:b w:val="0"/>
                <w:bCs w:val="0"/>
                <w:color w:val="000000"/>
                <w:kern w:val="0"/>
                <w:sz w:val="21"/>
                <w:szCs w:val="21"/>
                <w:lang w:val="en-US" w:eastAsia="zh-CN"/>
              </w:rPr>
              <w:t>三</w:t>
            </w:r>
            <w:r>
              <w:rPr>
                <w:rFonts w:hint="eastAsia" w:ascii="宋体" w:hAnsi="宋体" w:eastAsia="宋体" w:cs="宋体"/>
                <w:b w:val="0"/>
                <w:bCs w:val="0"/>
                <w:color w:val="000000"/>
                <w:kern w:val="0"/>
                <w:sz w:val="21"/>
                <w:szCs w:val="21"/>
              </w:rPr>
              <w:t>人位候诊椅（</w:t>
            </w:r>
            <w:r>
              <w:rPr>
                <w:rFonts w:hint="eastAsia" w:ascii="宋体" w:hAnsi="宋体" w:cs="宋体"/>
                <w:b w:val="0"/>
                <w:bCs w:val="0"/>
                <w:color w:val="000000"/>
                <w:kern w:val="0"/>
                <w:sz w:val="21"/>
                <w:szCs w:val="21"/>
                <w:lang w:val="en-US" w:eastAsia="zh-CN"/>
              </w:rPr>
              <w:t>有</w:t>
            </w:r>
            <w:r>
              <w:rPr>
                <w:rFonts w:hint="eastAsia" w:ascii="宋体" w:hAnsi="宋体" w:eastAsia="宋体" w:cs="宋体"/>
                <w:b w:val="0"/>
                <w:bCs w:val="0"/>
                <w:color w:val="000000"/>
                <w:kern w:val="0"/>
                <w:sz w:val="21"/>
                <w:szCs w:val="21"/>
              </w:rPr>
              <w:t>靠背）</w:t>
            </w:r>
          </w:p>
        </w:tc>
        <w:tc>
          <w:tcPr>
            <w:tcW w:w="2400" w:type="dxa"/>
            <w:tcBorders>
              <w:top w:val="nil"/>
              <w:left w:val="nil"/>
              <w:bottom w:val="single" w:color="auto" w:sz="4" w:space="0"/>
              <w:right w:val="single" w:color="auto" w:sz="8" w:space="0"/>
            </w:tcBorders>
            <w:noWrap/>
            <w:vAlign w:val="center"/>
          </w:tcPr>
          <w:p>
            <w:pPr>
              <w:widowControl/>
              <w:jc w:val="center"/>
              <w:rPr>
                <w:rFonts w:ascii="??" w:hAnsi="??" w:cs="??"/>
                <w:color w:val="000000"/>
                <w:kern w:val="0"/>
                <w:szCs w:val="21"/>
              </w:rPr>
            </w:pPr>
            <w:r>
              <w:rPr>
                <w:rFonts w:ascii="??" w:hAnsi="??" w:cs="??"/>
                <w:color w:val="000000"/>
                <w:kern w:val="0"/>
                <w:szCs w:val="21"/>
              </w:rPr>
              <w:t>1750*670*770mm</w:t>
            </w:r>
            <w:r>
              <w:rPr>
                <w:rFonts w:hint="eastAsia" w:ascii="宋体" w:hAnsi="宋体" w:eastAsia="宋体" w:cs="宋体"/>
                <w:color w:val="000000"/>
                <w:kern w:val="0"/>
                <w:szCs w:val="21"/>
              </w:rPr>
              <w:t>（</w:t>
            </w:r>
            <w:r>
              <w:rPr>
                <w:rFonts w:ascii="??" w:hAnsi="??" w:cs="??"/>
                <w:color w:val="000000"/>
                <w:kern w:val="0"/>
                <w:szCs w:val="21"/>
              </w:rPr>
              <w:t>±10</w:t>
            </w:r>
            <w:r>
              <w:rPr>
                <w:rFonts w:hint="eastAsia" w:ascii="宋体" w:hAnsi="宋体" w:eastAsia="宋体" w:cs="宋体"/>
                <w:color w:val="000000"/>
                <w:kern w:val="0"/>
                <w:szCs w:val="21"/>
              </w:rPr>
              <w:t>）</w:t>
            </w:r>
          </w:p>
        </w:tc>
        <w:tc>
          <w:tcPr>
            <w:tcW w:w="927" w:type="dxa"/>
            <w:tcBorders>
              <w:top w:val="nil"/>
              <w:left w:val="nil"/>
              <w:bottom w:val="single" w:color="auto" w:sz="4" w:space="0"/>
              <w:right w:val="single" w:color="auto" w:sz="8" w:space="0"/>
            </w:tcBorders>
            <w:noWrap/>
            <w:vAlign w:val="center"/>
          </w:tcPr>
          <w:p>
            <w:pPr>
              <w:widowControl/>
              <w:jc w:val="center"/>
              <w:rPr>
                <w:rFonts w:hint="eastAsia" w:ascii="??" w:hAnsi="??" w:eastAsia="??" w:cs="??"/>
                <w:color w:val="000000"/>
                <w:kern w:val="0"/>
                <w:szCs w:val="21"/>
                <w:lang w:eastAsia="zh-CN"/>
              </w:rPr>
            </w:pPr>
            <w:r>
              <w:rPr>
                <w:rFonts w:hint="eastAsia" w:ascii="??" w:hAnsi="??" w:cs="??"/>
                <w:color w:val="000000"/>
                <w:kern w:val="0"/>
                <w:szCs w:val="21"/>
                <w:lang w:val="en-US" w:eastAsia="zh-CN"/>
              </w:rPr>
              <w:t>1</w:t>
            </w:r>
          </w:p>
        </w:tc>
        <w:tc>
          <w:tcPr>
            <w:tcW w:w="825" w:type="dxa"/>
            <w:tcBorders>
              <w:top w:val="nil"/>
              <w:left w:val="nil"/>
              <w:bottom w:val="single" w:color="auto" w:sz="4" w:space="0"/>
              <w:right w:val="single" w:color="auto" w:sz="8" w:space="0"/>
            </w:tcBorders>
            <w:noWrap/>
            <w:vAlign w:val="center"/>
          </w:tcPr>
          <w:p>
            <w:pPr>
              <w:widowControl/>
              <w:jc w:val="center"/>
              <w:rPr>
                <w:rFonts w:ascii="??" w:hAnsi="??" w:cs="??"/>
                <w:color w:val="000000"/>
                <w:kern w:val="0"/>
                <w:szCs w:val="21"/>
              </w:rPr>
            </w:pPr>
            <w:r>
              <w:rPr>
                <w:rFonts w:hint="eastAsia" w:ascii="宋体" w:hAnsi="宋体" w:eastAsia="宋体" w:cs="宋体"/>
                <w:color w:val="000000"/>
                <w:kern w:val="0"/>
                <w:szCs w:val="21"/>
              </w:rPr>
              <w:t>组</w:t>
            </w:r>
          </w:p>
        </w:tc>
        <w:tc>
          <w:tcPr>
            <w:tcW w:w="1845" w:type="dxa"/>
            <w:tcBorders>
              <w:top w:val="nil"/>
              <w:left w:val="single" w:color="auto" w:sz="8" w:space="0"/>
              <w:bottom w:val="single" w:color="auto" w:sz="4" w:space="0"/>
              <w:right w:val="single" w:color="auto" w:sz="8" w:space="0"/>
            </w:tcBorders>
            <w:vAlign w:val="center"/>
          </w:tcPr>
          <w:p>
            <w:pPr>
              <w:widowControl/>
              <w:jc w:val="center"/>
              <w:rPr>
                <w:rFonts w:hint="default" w:ascii="??" w:hAnsi="??" w:eastAsia="??" w:cs="??"/>
                <w:color w:val="000000"/>
                <w:kern w:val="0"/>
                <w:szCs w:val="21"/>
                <w:lang w:val="en-US" w:eastAsia="zh-CN"/>
              </w:rPr>
            </w:pPr>
            <w:r>
              <w:rPr>
                <w:rFonts w:hint="eastAsia" w:ascii="??" w:hAnsi="??" w:cs="??"/>
                <w:color w:val="000000"/>
                <w:kern w:val="0"/>
                <w:szCs w:val="21"/>
                <w:lang w:val="en-US" w:eastAsia="zh-CN"/>
              </w:rPr>
              <w:t>1570.00</w:t>
            </w:r>
          </w:p>
        </w:tc>
      </w:tr>
      <w:tr>
        <w:tblPrEx>
          <w:tblLayout w:type="fixed"/>
          <w:tblCellMar>
            <w:top w:w="0" w:type="dxa"/>
            <w:left w:w="108" w:type="dxa"/>
            <w:bottom w:w="0" w:type="dxa"/>
            <w:right w:w="108" w:type="dxa"/>
          </w:tblCellMar>
        </w:tblPrEx>
        <w:trPr>
          <w:trHeight w:val="494" w:hRule="atLeast"/>
          <w:jc w:val="center"/>
        </w:trPr>
        <w:tc>
          <w:tcPr>
            <w:tcW w:w="7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 w:hAnsi="??" w:cs="??"/>
                <w:b/>
                <w:bCs/>
                <w:color w:val="000000"/>
                <w:kern w:val="0"/>
                <w:szCs w:val="21"/>
              </w:rPr>
            </w:pPr>
            <w:r>
              <w:rPr>
                <w:rFonts w:hint="eastAsia" w:ascii="宋体" w:hAnsi="宋体" w:eastAsia="宋体" w:cs="宋体"/>
                <w:b/>
                <w:bCs/>
                <w:color w:val="000000"/>
                <w:kern w:val="0"/>
                <w:szCs w:val="21"/>
              </w:rPr>
              <w:t>合计（元）</w:t>
            </w:r>
          </w:p>
        </w:tc>
        <w:tc>
          <w:tcPr>
            <w:tcW w:w="8409"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 w:hAnsi="??" w:eastAsia="??" w:cs="??"/>
                <w:b/>
                <w:bCs/>
                <w:color w:val="000000"/>
                <w:kern w:val="0"/>
                <w:szCs w:val="21"/>
                <w:lang w:val="en-US" w:eastAsia="zh-CN"/>
              </w:rPr>
            </w:pPr>
            <w:r>
              <w:rPr>
                <w:rFonts w:hint="eastAsia" w:ascii="??" w:hAnsi="??" w:cs="??"/>
                <w:b/>
                <w:bCs/>
                <w:color w:val="000000"/>
                <w:kern w:val="0"/>
                <w:szCs w:val="21"/>
                <w:lang w:val="en-US" w:eastAsia="zh-CN"/>
              </w:rPr>
              <w:t>21570.00（大写：贰万壹仟伍佰柒拾圆整）</w:t>
            </w:r>
          </w:p>
        </w:tc>
      </w:tr>
    </w:tbl>
    <w:p>
      <w:pPr>
        <w:spacing w:line="360" w:lineRule="auto"/>
        <w:ind w:firstLine="241" w:firstLineChars="100"/>
      </w:pPr>
      <w:r>
        <w:rPr>
          <w:b/>
          <w:kern w:val="44"/>
          <w:sz w:val="24"/>
        </w:rPr>
        <w:t>2.</w:t>
      </w:r>
      <w:r>
        <w:rPr>
          <w:rFonts w:hint="eastAsia" w:ascii="宋体" w:hAnsi="宋体" w:eastAsia="宋体" w:cs="宋体"/>
          <w:b/>
          <w:kern w:val="44"/>
          <w:sz w:val="24"/>
        </w:rPr>
        <w:t>技术参数要求</w:t>
      </w:r>
    </w:p>
    <w:tbl>
      <w:tblPr>
        <w:tblStyle w:val="9"/>
        <w:tblW w:w="10440" w:type="dxa"/>
        <w:tblInd w:w="-777" w:type="dxa"/>
        <w:tblLayout w:type="fixed"/>
        <w:tblCellMar>
          <w:top w:w="0" w:type="dxa"/>
          <w:left w:w="108" w:type="dxa"/>
          <w:bottom w:w="0" w:type="dxa"/>
          <w:right w:w="108" w:type="dxa"/>
        </w:tblCellMar>
      </w:tblPr>
      <w:tblGrid>
        <w:gridCol w:w="420"/>
        <w:gridCol w:w="794"/>
        <w:gridCol w:w="1710"/>
        <w:gridCol w:w="4261"/>
        <w:gridCol w:w="691"/>
        <w:gridCol w:w="629"/>
        <w:gridCol w:w="1935"/>
      </w:tblGrid>
      <w:tr>
        <w:tblPrEx>
          <w:tblLayout w:type="fixed"/>
          <w:tblCellMar>
            <w:top w:w="0" w:type="dxa"/>
            <w:left w:w="108" w:type="dxa"/>
            <w:bottom w:w="0" w:type="dxa"/>
            <w:right w:w="108" w:type="dxa"/>
          </w:tblCellMar>
        </w:tblPrEx>
        <w:trPr>
          <w:trHeight w:val="640" w:hRule="atLeast"/>
        </w:trPr>
        <w:tc>
          <w:tcPr>
            <w:tcW w:w="4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 w:hAnsi="??" w:cs="??"/>
                <w:b/>
                <w:bCs/>
                <w:color w:val="000000"/>
                <w:szCs w:val="21"/>
              </w:rPr>
            </w:pPr>
            <w:r>
              <w:rPr>
                <w:rFonts w:hint="eastAsia" w:ascii="宋体" w:hAnsi="宋体" w:eastAsia="宋体" w:cs="宋体"/>
                <w:b/>
                <w:bCs/>
                <w:color w:val="000000"/>
                <w:kern w:val="0"/>
                <w:szCs w:val="21"/>
              </w:rPr>
              <w:t>序号</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 w:hAnsi="??" w:cs="??"/>
                <w:b/>
                <w:bCs/>
                <w:color w:val="000000"/>
                <w:szCs w:val="21"/>
              </w:rPr>
            </w:pPr>
            <w:r>
              <w:rPr>
                <w:rFonts w:hint="eastAsia" w:ascii="宋体" w:hAnsi="宋体" w:eastAsia="宋体" w:cs="宋体"/>
                <w:b/>
                <w:bCs/>
                <w:color w:val="000000"/>
                <w:kern w:val="0"/>
                <w:szCs w:val="21"/>
              </w:rPr>
              <w:t>货物名称</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 w:hAnsi="??" w:cs="??"/>
                <w:b/>
                <w:bCs/>
                <w:color w:val="000000"/>
                <w:szCs w:val="21"/>
              </w:rPr>
            </w:pPr>
            <w:r>
              <w:rPr>
                <w:rFonts w:hint="eastAsia" w:ascii="宋体" w:hAnsi="宋体" w:eastAsia="宋体" w:cs="宋体"/>
                <w:b/>
                <w:bCs/>
                <w:color w:val="000000"/>
                <w:kern w:val="0"/>
                <w:szCs w:val="21"/>
              </w:rPr>
              <w:t>规格</w:t>
            </w:r>
          </w:p>
        </w:tc>
        <w:tc>
          <w:tcPr>
            <w:tcW w:w="42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 w:hAnsi="??" w:cs="??"/>
                <w:b/>
                <w:bCs/>
                <w:color w:val="000000"/>
                <w:szCs w:val="21"/>
              </w:rPr>
            </w:pPr>
            <w:r>
              <w:rPr>
                <w:rFonts w:hint="eastAsia" w:ascii="宋体" w:hAnsi="宋体" w:eastAsia="宋体" w:cs="宋体"/>
                <w:b/>
                <w:bCs/>
                <w:color w:val="000000"/>
                <w:kern w:val="0"/>
                <w:szCs w:val="21"/>
              </w:rPr>
              <w:t>技术及功能要求</w:t>
            </w:r>
          </w:p>
        </w:tc>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 w:hAnsi="??" w:cs="??"/>
                <w:b/>
                <w:bCs/>
                <w:color w:val="000000"/>
                <w:kern w:val="0"/>
                <w:szCs w:val="21"/>
              </w:rPr>
            </w:pPr>
            <w:r>
              <w:rPr>
                <w:rFonts w:hint="eastAsia" w:ascii="宋体" w:hAnsi="宋体" w:eastAsia="宋体" w:cs="宋体"/>
                <w:b/>
                <w:bCs/>
                <w:color w:val="000000"/>
                <w:kern w:val="0"/>
                <w:szCs w:val="21"/>
              </w:rPr>
              <w:t>数量</w:t>
            </w:r>
            <w:r>
              <w:rPr>
                <w:rFonts w:hint="eastAsia" w:ascii="宋体" w:hAnsi="宋体" w:eastAsia="宋体" w:cs="宋体"/>
                <w:b/>
                <w:kern w:val="44"/>
                <w:szCs w:val="21"/>
              </w:rPr>
              <w:t>★</w:t>
            </w:r>
          </w:p>
        </w:tc>
        <w:tc>
          <w:tcPr>
            <w:tcW w:w="6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 w:hAnsi="??" w:cs="??"/>
                <w:b/>
                <w:bCs/>
                <w:color w:val="000000"/>
                <w:kern w:val="0"/>
                <w:szCs w:val="21"/>
              </w:rPr>
            </w:pPr>
            <w:r>
              <w:rPr>
                <w:rFonts w:hint="eastAsia" w:ascii="宋体" w:hAnsi="宋体" w:eastAsia="宋体" w:cs="宋体"/>
                <w:b/>
                <w:bCs/>
                <w:color w:val="000000"/>
                <w:kern w:val="0"/>
                <w:szCs w:val="21"/>
              </w:rPr>
              <w:t>单位</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 w:hAnsi="??" w:cs="??"/>
                <w:b/>
                <w:bCs/>
                <w:color w:val="000000"/>
                <w:kern w:val="0"/>
                <w:szCs w:val="21"/>
              </w:rPr>
            </w:pPr>
            <w:r>
              <w:rPr>
                <w:rFonts w:hint="eastAsia" w:ascii="宋体" w:hAnsi="宋体" w:eastAsia="宋体" w:cs="宋体"/>
                <w:b/>
                <w:bCs/>
                <w:color w:val="000000"/>
                <w:kern w:val="0"/>
                <w:szCs w:val="21"/>
              </w:rPr>
              <w:t>参考图片</w:t>
            </w:r>
          </w:p>
        </w:tc>
      </w:tr>
      <w:tr>
        <w:tblPrEx>
          <w:tblLayout w:type="fixed"/>
          <w:tblCellMar>
            <w:top w:w="0" w:type="dxa"/>
            <w:left w:w="108" w:type="dxa"/>
            <w:bottom w:w="0" w:type="dxa"/>
            <w:right w:w="108" w:type="dxa"/>
          </w:tblCellMar>
        </w:tblPrEx>
        <w:trPr>
          <w:trHeight w:val="6240"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 w:hAnsi="??" w:cs="??"/>
                <w:color w:val="000000"/>
                <w:szCs w:val="21"/>
              </w:rPr>
            </w:pPr>
            <w:r>
              <w:rPr>
                <w:rFonts w:ascii="??" w:hAnsi="??" w:cs="??"/>
                <w:color w:val="000000"/>
                <w:kern w:val="0"/>
                <w:szCs w:val="21"/>
              </w:rPr>
              <w:t>1</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 w:hAnsi="??" w:cs="??"/>
                <w:color w:val="000000"/>
                <w:szCs w:val="21"/>
              </w:rPr>
            </w:pPr>
            <w:r>
              <w:rPr>
                <w:rFonts w:hint="eastAsia" w:ascii="宋体" w:hAnsi="宋体" w:cs="宋体"/>
                <w:b w:val="0"/>
                <w:bCs w:val="0"/>
                <w:color w:val="000000"/>
                <w:kern w:val="0"/>
                <w:sz w:val="21"/>
                <w:szCs w:val="21"/>
                <w:lang w:val="en-US" w:eastAsia="zh-CN"/>
              </w:rPr>
              <w:t>日间输液椅</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 w:hAnsi="??" w:cs="??"/>
                <w:color w:val="000000"/>
                <w:kern w:val="0"/>
                <w:sz w:val="18"/>
                <w:szCs w:val="18"/>
              </w:rPr>
            </w:pPr>
            <w:r>
              <w:rPr>
                <w:rFonts w:ascii="??" w:hAnsi="??" w:cs="??"/>
                <w:color w:val="000000"/>
                <w:kern w:val="0"/>
                <w:sz w:val="18"/>
                <w:szCs w:val="18"/>
              </w:rPr>
              <w:t>650*700*1160</w:t>
            </w:r>
            <w:r>
              <w:rPr>
                <w:rFonts w:hint="eastAsia" w:ascii="??" w:hAnsi="??" w:cs="??"/>
                <w:color w:val="000000"/>
                <w:kern w:val="0"/>
                <w:sz w:val="18"/>
                <w:szCs w:val="18"/>
              </w:rPr>
              <w:t>mm</w:t>
            </w:r>
            <w:r>
              <w:rPr>
                <w:rFonts w:hint="eastAsia" w:ascii="宋体" w:hAnsi="宋体" w:eastAsia="宋体" w:cs="宋体"/>
                <w:color w:val="000000"/>
                <w:kern w:val="0"/>
                <w:sz w:val="18"/>
                <w:szCs w:val="18"/>
              </w:rPr>
              <w:t>（</w:t>
            </w:r>
            <w:r>
              <w:rPr>
                <w:rFonts w:ascii="??" w:hAnsi="??" w:cs="??"/>
                <w:color w:val="000000"/>
                <w:kern w:val="0"/>
                <w:sz w:val="18"/>
                <w:szCs w:val="18"/>
              </w:rPr>
              <w:t>±10</w:t>
            </w:r>
            <w:r>
              <w:rPr>
                <w:rFonts w:hint="eastAsia" w:ascii="宋体" w:hAnsi="宋体" w:eastAsia="宋体" w:cs="宋体"/>
                <w:color w:val="000000"/>
                <w:kern w:val="0"/>
                <w:sz w:val="18"/>
                <w:szCs w:val="18"/>
              </w:rPr>
              <w:t>）</w:t>
            </w:r>
          </w:p>
        </w:tc>
        <w:tc>
          <w:tcPr>
            <w:tcW w:w="42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 w:hAnsi="??" w:cs="??"/>
                <w:color w:val="000000"/>
                <w:kern w:val="0"/>
                <w:sz w:val="18"/>
                <w:szCs w:val="18"/>
              </w:rPr>
            </w:pPr>
            <w:r>
              <w:rPr>
                <w:rFonts w:ascii="??" w:hAnsi="??" w:cs="??"/>
                <w:color w:val="000000"/>
                <w:kern w:val="0"/>
                <w:sz w:val="18"/>
                <w:szCs w:val="18"/>
              </w:rPr>
              <w:t>1.</w:t>
            </w:r>
            <w:r>
              <w:rPr>
                <w:rFonts w:hint="eastAsia" w:ascii="宋体" w:hAnsi="宋体" w:eastAsia="宋体" w:cs="宋体"/>
                <w:color w:val="000000"/>
                <w:kern w:val="0"/>
                <w:sz w:val="18"/>
                <w:szCs w:val="18"/>
              </w:rPr>
              <w:t>扶手，脚</w:t>
            </w:r>
            <w:r>
              <w:rPr>
                <w:rFonts w:ascii="??" w:hAnsi="??" w:cs="??"/>
                <w:color w:val="000000"/>
                <w:kern w:val="0"/>
                <w:sz w:val="18"/>
                <w:szCs w:val="18"/>
              </w:rPr>
              <w:t>:</w:t>
            </w:r>
            <w:r>
              <w:rPr>
                <w:rFonts w:hint="eastAsia" w:ascii="宋体" w:hAnsi="宋体" w:eastAsia="宋体" w:cs="宋体"/>
                <w:color w:val="000000"/>
                <w:kern w:val="0"/>
                <w:sz w:val="18"/>
                <w:szCs w:val="18"/>
              </w:rPr>
              <w:t>采用</w:t>
            </w:r>
            <w:r>
              <w:rPr>
                <w:rFonts w:ascii="??" w:hAnsi="??" w:cs="??"/>
                <w:color w:val="000000"/>
                <w:kern w:val="0"/>
                <w:sz w:val="18"/>
                <w:szCs w:val="18"/>
              </w:rPr>
              <w:t>30*60mm*1.2mm</w:t>
            </w:r>
            <w:r>
              <w:rPr>
                <w:rFonts w:hint="eastAsia" w:ascii="宋体" w:hAnsi="宋体" w:eastAsia="宋体" w:cs="宋体"/>
                <w:color w:val="000000"/>
                <w:kern w:val="0"/>
                <w:sz w:val="18"/>
                <w:szCs w:val="18"/>
              </w:rPr>
              <w:t>的优质冷轧钢管冲压后焊接成型，除锈处理后静电喷涂漆粉。</w:t>
            </w:r>
          </w:p>
          <w:p>
            <w:pPr>
              <w:widowControl/>
              <w:jc w:val="left"/>
              <w:textAlignment w:val="center"/>
              <w:rPr>
                <w:rFonts w:hint="eastAsia" w:ascii="??" w:hAnsi="??" w:eastAsia="宋体" w:cs="??"/>
                <w:color w:val="000000"/>
                <w:kern w:val="0"/>
                <w:sz w:val="18"/>
                <w:szCs w:val="18"/>
                <w:lang w:eastAsia="zh-CN"/>
              </w:rPr>
            </w:pPr>
            <w:r>
              <w:rPr>
                <w:rFonts w:ascii="??" w:hAnsi="??" w:cs="??"/>
                <w:color w:val="000000"/>
                <w:kern w:val="0"/>
                <w:sz w:val="18"/>
                <w:szCs w:val="18"/>
              </w:rPr>
              <w:t>2.</w:t>
            </w:r>
            <w:r>
              <w:rPr>
                <w:rFonts w:hint="eastAsia" w:ascii="宋体" w:hAnsi="宋体" w:eastAsia="宋体" w:cs="宋体"/>
                <w:color w:val="000000"/>
                <w:kern w:val="0"/>
                <w:sz w:val="18"/>
                <w:szCs w:val="18"/>
              </w:rPr>
              <w:t>扶手板</w:t>
            </w:r>
            <w:r>
              <w:rPr>
                <w:rFonts w:ascii="??" w:hAnsi="??" w:cs="??"/>
                <w:color w:val="000000"/>
                <w:kern w:val="0"/>
                <w:sz w:val="18"/>
                <w:szCs w:val="18"/>
              </w:rPr>
              <w:t>:</w:t>
            </w:r>
            <w:r>
              <w:rPr>
                <w:rFonts w:hint="eastAsia" w:ascii="宋体" w:hAnsi="宋体" w:eastAsia="宋体" w:cs="宋体"/>
                <w:color w:val="000000"/>
                <w:kern w:val="0"/>
                <w:sz w:val="18"/>
                <w:szCs w:val="18"/>
              </w:rPr>
              <w:t>采用中纤板外包覆优质海绵装扪西皮，表面平整光滑，大方美观</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扶手右侧设计置物货架</w:t>
            </w:r>
            <w:r>
              <w:rPr>
                <w:rFonts w:hint="eastAsia" w:ascii="宋体" w:hAnsi="宋体" w:eastAsia="宋体" w:cs="宋体"/>
                <w:color w:val="000000"/>
                <w:kern w:val="0"/>
                <w:sz w:val="18"/>
                <w:szCs w:val="18"/>
              </w:rPr>
              <w:t>。</w:t>
            </w:r>
            <w:r>
              <w:rPr>
                <w:rFonts w:ascii="??" w:hAnsi="??" w:cs="??"/>
                <w:color w:val="000000"/>
                <w:kern w:val="0"/>
                <w:sz w:val="18"/>
                <w:szCs w:val="18"/>
              </w:rPr>
              <w:t xml:space="preserve">                                 3.</w:t>
            </w:r>
            <w:r>
              <w:rPr>
                <w:rFonts w:hint="eastAsia" w:ascii="宋体" w:hAnsi="宋体" w:eastAsia="宋体" w:cs="宋体"/>
                <w:color w:val="000000"/>
                <w:kern w:val="0"/>
                <w:sz w:val="18"/>
                <w:szCs w:val="18"/>
              </w:rPr>
              <w:t>座板内框，书网</w:t>
            </w:r>
            <w:r>
              <w:rPr>
                <w:rFonts w:ascii="??" w:hAnsi="??" w:cs="??"/>
                <w:color w:val="000000"/>
                <w:kern w:val="0"/>
                <w:sz w:val="18"/>
                <w:szCs w:val="18"/>
              </w:rPr>
              <w:t>:</w:t>
            </w:r>
            <w:r>
              <w:rPr>
                <w:rFonts w:hint="eastAsia" w:ascii="宋体" w:hAnsi="宋体" w:eastAsia="宋体" w:cs="宋体"/>
                <w:color w:val="000000"/>
                <w:kern w:val="0"/>
                <w:sz w:val="18"/>
                <w:szCs w:val="18"/>
              </w:rPr>
              <w:t>采用</w:t>
            </w:r>
            <w:r>
              <w:rPr>
                <w:rFonts w:ascii="??" w:hAnsi="??" w:cs="??"/>
                <w:color w:val="000000"/>
                <w:kern w:val="0"/>
                <w:sz w:val="18"/>
                <w:szCs w:val="18"/>
              </w:rPr>
              <w:t>1.0mm</w:t>
            </w:r>
            <w:r>
              <w:rPr>
                <w:rFonts w:hint="eastAsia" w:ascii="宋体" w:hAnsi="宋体" w:eastAsia="宋体" w:cs="宋体"/>
                <w:color w:val="000000"/>
                <w:kern w:val="0"/>
                <w:sz w:val="18"/>
                <w:szCs w:val="18"/>
              </w:rPr>
              <w:t>优质冷轧钢管经数控磨具折弯工艺，表面采用静电喷粉处理</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床椅靠背多档调节可至120度</w:t>
            </w:r>
            <w:r>
              <w:rPr>
                <w:rFonts w:hint="eastAsia" w:ascii="宋体" w:hAnsi="宋体" w:eastAsia="宋体" w:cs="宋体"/>
                <w:color w:val="000000"/>
                <w:kern w:val="0"/>
                <w:sz w:val="18"/>
                <w:szCs w:val="18"/>
                <w:lang w:eastAsia="zh-CN"/>
              </w:rPr>
              <w:t>。</w:t>
            </w:r>
          </w:p>
          <w:p>
            <w:pPr>
              <w:widowControl/>
              <w:jc w:val="left"/>
              <w:textAlignment w:val="center"/>
              <w:rPr>
                <w:rFonts w:ascii="宋体" w:hAnsi="宋体" w:eastAsia="宋体" w:cs="宋体"/>
                <w:color w:val="000000"/>
                <w:kern w:val="0"/>
                <w:sz w:val="18"/>
                <w:szCs w:val="18"/>
              </w:rPr>
            </w:pPr>
            <w:r>
              <w:rPr>
                <w:rFonts w:ascii="??" w:hAnsi="??" w:cs="??"/>
                <w:color w:val="000000"/>
                <w:kern w:val="0"/>
                <w:sz w:val="18"/>
                <w:szCs w:val="18"/>
              </w:rPr>
              <w:t>4</w:t>
            </w:r>
            <w:r>
              <w:rPr>
                <w:rFonts w:hint="eastAsia" w:ascii="??" w:hAnsi="??" w:cs="??" w:eastAsiaTheme="minorEastAsia"/>
                <w:color w:val="000000"/>
                <w:kern w:val="0"/>
                <w:sz w:val="18"/>
                <w:szCs w:val="18"/>
              </w:rPr>
              <w:t>.</w:t>
            </w:r>
            <w:r>
              <w:rPr>
                <w:color w:val="000000"/>
                <w:sz w:val="18"/>
                <w:szCs w:val="18"/>
              </w:rPr>
              <w:t xml:space="preserve"> ▲</w:t>
            </w:r>
            <w:r>
              <w:rPr>
                <w:rFonts w:hint="eastAsia" w:ascii="宋体" w:hAnsi="宋体" w:eastAsia="宋体" w:cs="宋体"/>
                <w:color w:val="000000"/>
                <w:kern w:val="0"/>
                <w:sz w:val="18"/>
                <w:szCs w:val="18"/>
              </w:rPr>
              <w:t>座垫和脚踏</w:t>
            </w:r>
            <w:r>
              <w:rPr>
                <w:rFonts w:ascii="??" w:hAnsi="??" w:cs="??"/>
                <w:color w:val="000000"/>
                <w:kern w:val="0"/>
                <w:sz w:val="18"/>
                <w:szCs w:val="18"/>
              </w:rPr>
              <w:t>:</w:t>
            </w:r>
            <w:r>
              <w:rPr>
                <w:rFonts w:hint="eastAsia" w:ascii="宋体" w:hAnsi="宋体" w:eastAsia="宋体" w:cs="宋体"/>
                <w:color w:val="000000"/>
                <w:kern w:val="0"/>
                <w:sz w:val="18"/>
                <w:szCs w:val="18"/>
              </w:rPr>
              <w:t>使用</w:t>
            </w:r>
            <w:r>
              <w:rPr>
                <w:rFonts w:ascii="??" w:hAnsi="??" w:cs="??"/>
                <w:color w:val="000000"/>
                <w:kern w:val="0"/>
                <w:sz w:val="18"/>
                <w:szCs w:val="18"/>
              </w:rPr>
              <w:t>E1</w:t>
            </w:r>
            <w:r>
              <w:rPr>
                <w:rFonts w:hint="eastAsia" w:ascii="宋体" w:hAnsi="宋体" w:eastAsia="宋体" w:cs="宋体"/>
                <w:color w:val="000000"/>
                <w:kern w:val="0"/>
                <w:sz w:val="18"/>
                <w:szCs w:val="18"/>
              </w:rPr>
              <w:t>级多层实木板，高回弹海绵及优质西皮，经高级衣车裁剪车线订制而成，舒适耐用。</w:t>
            </w:r>
            <w:r>
              <w:rPr>
                <w:rFonts w:ascii="??" w:hAnsi="??" w:cs="??"/>
                <w:color w:val="000000"/>
                <w:kern w:val="0"/>
                <w:sz w:val="18"/>
                <w:szCs w:val="18"/>
              </w:rPr>
              <w:t>E1</w:t>
            </w:r>
            <w:r>
              <w:rPr>
                <w:rFonts w:hint="eastAsia" w:ascii="宋体" w:hAnsi="宋体" w:eastAsia="宋体" w:cs="宋体"/>
                <w:color w:val="000000"/>
                <w:kern w:val="0"/>
                <w:sz w:val="18"/>
                <w:szCs w:val="18"/>
              </w:rPr>
              <w:t>级多层实木板符合</w:t>
            </w:r>
            <w:r>
              <w:rPr>
                <w:rFonts w:ascii="??" w:hAnsi="??" w:cs="??"/>
                <w:color w:val="000000"/>
                <w:kern w:val="0"/>
                <w:sz w:val="18"/>
                <w:szCs w:val="18"/>
              </w:rPr>
              <w:t>GB/T 9846-2015</w:t>
            </w:r>
            <w:r>
              <w:rPr>
                <w:rFonts w:hint="eastAsia" w:ascii="宋体" w:hAnsi="宋体" w:eastAsia="宋体" w:cs="宋体"/>
                <w:color w:val="000000"/>
                <w:kern w:val="0"/>
                <w:sz w:val="18"/>
                <w:szCs w:val="18"/>
              </w:rPr>
              <w:t>普通胶合板要求，静曲强度顺纹合格试件数与有效试件总数之比</w:t>
            </w:r>
            <w:r>
              <w:rPr>
                <w:color w:val="000000"/>
                <w:sz w:val="18"/>
                <w:szCs w:val="18"/>
              </w:rPr>
              <w:t>≥</w:t>
            </w:r>
            <w:r>
              <w:rPr>
                <w:rFonts w:ascii="??" w:hAnsi="??" w:cs="??"/>
                <w:color w:val="000000"/>
                <w:kern w:val="0"/>
                <w:sz w:val="18"/>
                <w:szCs w:val="18"/>
              </w:rPr>
              <w:t>99</w:t>
            </w:r>
            <w:r>
              <w:rPr>
                <w:color w:val="000000"/>
                <w:sz w:val="18"/>
                <w:szCs w:val="18"/>
              </w:rPr>
              <w:t>%,</w:t>
            </w:r>
            <w:r>
              <w:rPr>
                <w:rFonts w:hint="eastAsia" w:ascii="宋体" w:hAnsi="宋体" w:eastAsia="宋体" w:cs="宋体"/>
                <w:color w:val="000000"/>
                <w:sz w:val="18"/>
                <w:szCs w:val="18"/>
              </w:rPr>
              <w:t>甲醛释放限量</w:t>
            </w:r>
            <w:r>
              <w:rPr>
                <w:color w:val="000000"/>
                <w:sz w:val="18"/>
                <w:szCs w:val="18"/>
              </w:rPr>
              <w:t>1 m³</w:t>
            </w:r>
            <w:r>
              <w:rPr>
                <w:rFonts w:hint="eastAsia" w:ascii="宋体" w:hAnsi="宋体" w:eastAsia="宋体" w:cs="宋体"/>
                <w:color w:val="000000"/>
                <w:sz w:val="18"/>
                <w:szCs w:val="18"/>
              </w:rPr>
              <w:t>气候箱法</w:t>
            </w:r>
            <w:r>
              <w:rPr>
                <w:color w:val="000000"/>
                <w:sz w:val="18"/>
                <w:szCs w:val="18"/>
              </w:rPr>
              <w:t>E1≤0.029 mg/m³</w:t>
            </w:r>
            <w:r>
              <w:rPr>
                <w:rFonts w:hint="eastAsia" w:ascii="宋体" w:hAnsi="宋体" w:eastAsia="宋体" w:cs="宋体"/>
                <w:color w:val="000000"/>
                <w:sz w:val="18"/>
                <w:szCs w:val="18"/>
              </w:rPr>
              <w:t>（提供</w:t>
            </w:r>
            <w:r>
              <w:rPr>
                <w:color w:val="000000"/>
                <w:sz w:val="18"/>
                <w:szCs w:val="18"/>
              </w:rPr>
              <w:t>“</w:t>
            </w:r>
            <w:r>
              <w:rPr>
                <w:rFonts w:ascii="??" w:hAnsi="??" w:cs="??"/>
                <w:color w:val="000000"/>
                <w:kern w:val="0"/>
                <w:sz w:val="18"/>
                <w:szCs w:val="18"/>
              </w:rPr>
              <w:t>E1</w:t>
            </w:r>
            <w:r>
              <w:rPr>
                <w:rFonts w:hint="eastAsia" w:ascii="宋体" w:hAnsi="宋体" w:eastAsia="宋体" w:cs="宋体"/>
                <w:color w:val="000000"/>
                <w:kern w:val="0"/>
                <w:sz w:val="18"/>
                <w:szCs w:val="18"/>
              </w:rPr>
              <w:t>级多层实木板</w:t>
            </w:r>
            <w:r>
              <w:rPr>
                <w:color w:val="000000"/>
                <w:sz w:val="18"/>
                <w:szCs w:val="18"/>
              </w:rPr>
              <w:t>”</w:t>
            </w:r>
            <w:r>
              <w:rPr>
                <w:rFonts w:hint="eastAsia" w:ascii="宋体" w:hAnsi="宋体" w:eastAsia="宋体" w:cs="宋体"/>
                <w:color w:val="000000"/>
                <w:sz w:val="18"/>
                <w:szCs w:val="18"/>
              </w:rPr>
              <w:t>带</w:t>
            </w:r>
            <w:r>
              <w:rPr>
                <w:color w:val="000000"/>
                <w:sz w:val="18"/>
                <w:szCs w:val="18"/>
              </w:rPr>
              <w:t>CNAS</w:t>
            </w:r>
            <w:r>
              <w:rPr>
                <w:rFonts w:hint="eastAsia" w:ascii="宋体" w:hAnsi="宋体" w:eastAsia="宋体" w:cs="宋体"/>
                <w:color w:val="000000"/>
                <w:sz w:val="18"/>
                <w:szCs w:val="18"/>
              </w:rPr>
              <w:t>或</w:t>
            </w:r>
            <w:r>
              <w:rPr>
                <w:color w:val="000000"/>
                <w:sz w:val="18"/>
                <w:szCs w:val="18"/>
              </w:rPr>
              <w:t>CMA</w:t>
            </w:r>
            <w:r>
              <w:rPr>
                <w:rFonts w:hint="eastAsia" w:ascii="宋体" w:hAnsi="宋体" w:eastAsia="宋体" w:cs="宋体"/>
                <w:color w:val="000000"/>
                <w:sz w:val="18"/>
                <w:szCs w:val="18"/>
              </w:rPr>
              <w:t>的第三方检测机构出具的检测报告扫描件）</w:t>
            </w:r>
          </w:p>
          <w:p>
            <w:pPr>
              <w:widowControl/>
              <w:jc w:val="left"/>
              <w:textAlignment w:val="center"/>
              <w:rPr>
                <w:rFonts w:ascii="??" w:hAnsi="??" w:cs="??"/>
                <w:color w:val="000000"/>
                <w:kern w:val="0"/>
                <w:sz w:val="18"/>
                <w:szCs w:val="18"/>
              </w:rPr>
            </w:pPr>
            <w:r>
              <w:rPr>
                <w:rFonts w:hint="eastAsia" w:ascii="??" w:hAnsi="??" w:cs="??"/>
                <w:color w:val="000000"/>
                <w:kern w:val="0"/>
                <w:sz w:val="18"/>
                <w:szCs w:val="18"/>
                <w:lang w:val="en-US" w:eastAsia="zh-CN"/>
              </w:rPr>
              <w:t>5</w:t>
            </w:r>
            <w:r>
              <w:rPr>
                <w:rFonts w:ascii="??" w:hAnsi="??" w:cs="??"/>
                <w:color w:val="000000"/>
                <w:kern w:val="0"/>
                <w:sz w:val="18"/>
                <w:szCs w:val="18"/>
              </w:rPr>
              <w:t>.</w:t>
            </w:r>
            <w:r>
              <w:rPr>
                <w:rFonts w:hint="eastAsia" w:ascii="宋体" w:hAnsi="宋体" w:eastAsia="宋体" w:cs="宋体"/>
                <w:color w:val="000000"/>
                <w:kern w:val="0"/>
                <w:sz w:val="18"/>
                <w:szCs w:val="18"/>
              </w:rPr>
              <w:t>横梁</w:t>
            </w:r>
            <w:r>
              <w:rPr>
                <w:rFonts w:ascii="??" w:hAnsi="??" w:cs="??"/>
                <w:color w:val="000000"/>
                <w:kern w:val="0"/>
                <w:sz w:val="18"/>
                <w:szCs w:val="18"/>
              </w:rPr>
              <w:t>:</w:t>
            </w:r>
            <w:r>
              <w:rPr>
                <w:rFonts w:hint="eastAsia" w:ascii="宋体" w:hAnsi="宋体" w:eastAsia="宋体" w:cs="宋体"/>
                <w:color w:val="000000"/>
                <w:kern w:val="0"/>
                <w:sz w:val="18"/>
                <w:szCs w:val="18"/>
              </w:rPr>
              <w:t>采用</w:t>
            </w:r>
            <w:r>
              <w:rPr>
                <w:rFonts w:ascii="??" w:hAnsi="??" w:cs="??"/>
                <w:color w:val="000000"/>
                <w:kern w:val="0"/>
                <w:sz w:val="18"/>
                <w:szCs w:val="18"/>
              </w:rPr>
              <w:t>25*50*1.2MM</w:t>
            </w:r>
            <w:r>
              <w:rPr>
                <w:rFonts w:hint="eastAsia" w:ascii="宋体" w:hAnsi="宋体" w:eastAsia="宋体" w:cs="宋体"/>
                <w:color w:val="000000"/>
                <w:kern w:val="0"/>
                <w:sz w:val="18"/>
                <w:szCs w:val="18"/>
              </w:rPr>
              <w:t>方钢管组成，喷涂空调户外喷粉。每座位配</w:t>
            </w:r>
            <w:r>
              <w:rPr>
                <w:rFonts w:ascii="??" w:hAnsi="??" w:cs="??"/>
                <w:color w:val="000000"/>
                <w:kern w:val="0"/>
                <w:sz w:val="18"/>
                <w:szCs w:val="18"/>
              </w:rPr>
              <w:t>1</w:t>
            </w:r>
            <w:r>
              <w:rPr>
                <w:rFonts w:hint="eastAsia" w:ascii="宋体" w:hAnsi="宋体" w:eastAsia="宋体" w:cs="宋体"/>
                <w:color w:val="000000"/>
                <w:kern w:val="0"/>
                <w:sz w:val="18"/>
                <w:szCs w:val="18"/>
              </w:rPr>
              <w:t>支不锈钢输液杆。</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 w:hAnsi="??" w:cs="??"/>
                <w:color w:val="000000"/>
                <w:kern w:val="0"/>
                <w:sz w:val="18"/>
                <w:szCs w:val="18"/>
              </w:rPr>
            </w:pPr>
            <w:r>
              <w:rPr>
                <w:rFonts w:ascii="??" w:hAnsi="??" w:cs="??"/>
                <w:color w:val="000000"/>
                <w:kern w:val="0"/>
                <w:sz w:val="18"/>
                <w:szCs w:val="18"/>
              </w:rPr>
              <w:t>10</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 w:hAnsi="??" w:cs="??"/>
                <w:color w:val="000000"/>
                <w:kern w:val="0"/>
                <w:sz w:val="18"/>
                <w:szCs w:val="18"/>
              </w:rPr>
            </w:pPr>
            <w:r>
              <w:rPr>
                <w:rFonts w:hint="eastAsia" w:ascii="宋体" w:hAnsi="宋体" w:eastAsia="宋体" w:cs="宋体"/>
                <w:color w:val="000000"/>
                <w:kern w:val="0"/>
                <w:sz w:val="18"/>
                <w:szCs w:val="18"/>
              </w:rPr>
              <w:t>把</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eastAsia="??"/>
                <w:color w:val="000000"/>
                <w:sz w:val="18"/>
                <w:szCs w:val="18"/>
                <w:lang w:eastAsia="zh-CN"/>
              </w:rPr>
            </w:pPr>
            <w:r>
              <w:rPr>
                <w:rFonts w:hint="eastAsia" w:eastAsia="??"/>
                <w:color w:val="000000"/>
                <w:sz w:val="18"/>
                <w:szCs w:val="18"/>
                <w:lang w:eastAsia="zh-CN"/>
              </w:rPr>
              <w:drawing>
                <wp:inline distT="0" distB="0" distL="114300" distR="114300">
                  <wp:extent cx="1138555" cy="1518285"/>
                  <wp:effectExtent l="0" t="0" r="4445" b="5715"/>
                  <wp:docPr id="3" name="图片 3" descr="113c38e4fdca46a7ebc2e75c0fed2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3c38e4fdca46a7ebc2e75c0fed22a"/>
                          <pic:cNvPicPr>
                            <a:picLocks noChangeAspect="1"/>
                          </pic:cNvPicPr>
                        </pic:nvPicPr>
                        <pic:blipFill>
                          <a:blip r:embed="rId8"/>
                          <a:stretch>
                            <a:fillRect/>
                          </a:stretch>
                        </pic:blipFill>
                        <pic:spPr>
                          <a:xfrm>
                            <a:off x="0" y="0"/>
                            <a:ext cx="1138555" cy="1518285"/>
                          </a:xfrm>
                          <a:prstGeom prst="rect">
                            <a:avLst/>
                          </a:prstGeom>
                        </pic:spPr>
                      </pic:pic>
                    </a:graphicData>
                  </a:graphic>
                </wp:inline>
              </w:drawing>
            </w:r>
          </w:p>
        </w:tc>
      </w:tr>
      <w:tr>
        <w:tblPrEx>
          <w:tblLayout w:type="fixed"/>
          <w:tblCellMar>
            <w:top w:w="0" w:type="dxa"/>
            <w:left w:w="108" w:type="dxa"/>
            <w:bottom w:w="0" w:type="dxa"/>
            <w:right w:w="108" w:type="dxa"/>
          </w:tblCellMar>
        </w:tblPrEx>
        <w:trPr>
          <w:trHeight w:val="8177"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 w:hAnsi="??" w:cs="??"/>
                <w:color w:val="000000"/>
                <w:szCs w:val="21"/>
              </w:rPr>
            </w:pPr>
            <w:r>
              <w:rPr>
                <w:rFonts w:ascii="??" w:hAnsi="??" w:cs="??"/>
                <w:color w:val="000000"/>
                <w:kern w:val="0"/>
                <w:szCs w:val="21"/>
              </w:rPr>
              <w:t>2</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 w:hAnsi="??" w:cs="??"/>
                <w:color w:val="000000"/>
                <w:szCs w:val="21"/>
              </w:rPr>
            </w:pPr>
            <w:r>
              <w:rPr>
                <w:rFonts w:hint="eastAsia" w:ascii="宋体" w:hAnsi="宋体" w:cs="宋体"/>
                <w:b w:val="0"/>
                <w:bCs w:val="0"/>
                <w:color w:val="000000"/>
                <w:kern w:val="0"/>
                <w:sz w:val="21"/>
                <w:szCs w:val="21"/>
                <w:lang w:val="en-US" w:eastAsia="zh-CN"/>
              </w:rPr>
              <w:t>多功能超声医生专用椅</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 w:hAnsi="??" w:cs="??"/>
                <w:color w:val="000000"/>
                <w:sz w:val="18"/>
                <w:szCs w:val="18"/>
              </w:rPr>
            </w:pPr>
            <w:r>
              <w:rPr>
                <w:rFonts w:ascii="??" w:hAnsi="??" w:cs="??"/>
                <w:color w:val="000000"/>
                <w:kern w:val="0"/>
                <w:sz w:val="18"/>
                <w:szCs w:val="18"/>
              </w:rPr>
              <w:t>630*630*920-1070mm</w:t>
            </w:r>
            <w:r>
              <w:rPr>
                <w:rFonts w:hint="eastAsia" w:ascii="宋体" w:hAnsi="宋体" w:eastAsia="宋体" w:cs="宋体"/>
                <w:color w:val="000000"/>
                <w:kern w:val="0"/>
                <w:sz w:val="18"/>
                <w:szCs w:val="18"/>
              </w:rPr>
              <w:t>（</w:t>
            </w:r>
            <w:r>
              <w:rPr>
                <w:rFonts w:ascii="??" w:hAnsi="??" w:cs="??"/>
                <w:color w:val="000000"/>
                <w:kern w:val="0"/>
                <w:sz w:val="18"/>
                <w:szCs w:val="18"/>
              </w:rPr>
              <w:t>±10</w:t>
            </w:r>
            <w:r>
              <w:rPr>
                <w:rFonts w:hint="eastAsia" w:ascii="宋体" w:hAnsi="宋体" w:eastAsia="宋体" w:cs="宋体"/>
                <w:color w:val="000000"/>
                <w:kern w:val="0"/>
                <w:sz w:val="18"/>
                <w:szCs w:val="18"/>
              </w:rPr>
              <w:t>）</w:t>
            </w:r>
          </w:p>
        </w:tc>
        <w:tc>
          <w:tcPr>
            <w:tcW w:w="42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18"/>
                <w:szCs w:val="18"/>
              </w:rPr>
            </w:pPr>
            <w:r>
              <w:rPr>
                <w:color w:val="000000"/>
                <w:sz w:val="18"/>
                <w:szCs w:val="18"/>
              </w:rPr>
              <w:t>1.</w:t>
            </w:r>
            <w:r>
              <w:rPr>
                <w:rFonts w:hint="eastAsia" w:ascii="宋体" w:hAnsi="宋体" w:eastAsia="宋体" w:cs="宋体"/>
                <w:color w:val="000000"/>
                <w:sz w:val="18"/>
                <w:szCs w:val="18"/>
              </w:rPr>
              <w:t>饰面：采用专业耐刮耐磨，防霉抗菌优质西皮：具有卓越的耐腐蚀、耐紫外线消毒及抗老化性能、高耐磨耐用性、防霉抗菌抗有害微生物抗病毒性能、具备</w:t>
            </w:r>
            <w:r>
              <w:rPr>
                <w:color w:val="000000"/>
                <w:sz w:val="18"/>
                <w:szCs w:val="18"/>
              </w:rPr>
              <w:t xml:space="preserve">100% </w:t>
            </w:r>
            <w:r>
              <w:rPr>
                <w:rFonts w:hint="eastAsia" w:ascii="宋体" w:hAnsi="宋体" w:eastAsia="宋体" w:cs="宋体"/>
                <w:color w:val="000000"/>
                <w:sz w:val="18"/>
                <w:szCs w:val="18"/>
              </w:rPr>
              <w:t>防水防渗透能力，医用等级的抗污易清洁能力；</w:t>
            </w:r>
          </w:p>
          <w:p>
            <w:pPr>
              <w:widowControl/>
              <w:jc w:val="left"/>
              <w:textAlignment w:val="center"/>
              <w:rPr>
                <w:color w:val="000000"/>
                <w:sz w:val="18"/>
                <w:szCs w:val="18"/>
              </w:rPr>
            </w:pPr>
            <w:r>
              <w:rPr>
                <w:color w:val="000000"/>
                <w:sz w:val="18"/>
                <w:szCs w:val="18"/>
              </w:rPr>
              <w:t>2.▲</w:t>
            </w:r>
            <w:r>
              <w:rPr>
                <w:rFonts w:hint="eastAsia" w:ascii="宋体" w:hAnsi="宋体" w:eastAsia="宋体" w:cs="宋体"/>
                <w:color w:val="000000"/>
                <w:sz w:val="18"/>
                <w:szCs w:val="18"/>
              </w:rPr>
              <w:t>海绵：采用优质发泡环保海绵，符合</w:t>
            </w:r>
            <w:r>
              <w:rPr>
                <w:color w:val="000000"/>
                <w:sz w:val="18"/>
                <w:szCs w:val="18"/>
              </w:rPr>
              <w:t>GB/T 10802-2023</w:t>
            </w:r>
            <w:r>
              <w:rPr>
                <w:rFonts w:hint="eastAsia" w:ascii="宋体" w:hAnsi="宋体" w:eastAsia="宋体" w:cs="宋体"/>
                <w:color w:val="000000"/>
                <w:sz w:val="18"/>
                <w:szCs w:val="18"/>
              </w:rPr>
              <w:t>《通用软质聚氨酯泡沫塑料》要求，海绵的</w:t>
            </w:r>
            <w:r>
              <w:rPr>
                <w:color w:val="000000"/>
                <w:sz w:val="18"/>
                <w:szCs w:val="18"/>
              </w:rPr>
              <w:t>(</w:t>
            </w:r>
            <w:r>
              <w:rPr>
                <w:rFonts w:hint="eastAsia" w:ascii="宋体" w:hAnsi="宋体" w:eastAsia="宋体" w:cs="宋体"/>
                <w:color w:val="000000"/>
                <w:sz w:val="18"/>
                <w:szCs w:val="18"/>
              </w:rPr>
              <w:t>性能</w:t>
            </w:r>
            <w:r>
              <w:rPr>
                <w:color w:val="000000"/>
                <w:sz w:val="18"/>
                <w:szCs w:val="18"/>
              </w:rPr>
              <w:t>S)</w:t>
            </w:r>
            <w:r>
              <w:rPr>
                <w:rFonts w:hint="eastAsia" w:ascii="宋体" w:hAnsi="宋体" w:eastAsia="宋体" w:cs="宋体"/>
                <w:color w:val="000000"/>
                <w:sz w:val="18"/>
                <w:szCs w:val="18"/>
              </w:rPr>
              <w:t>回弹率</w:t>
            </w:r>
            <w:r>
              <w:rPr>
                <w:color w:val="000000"/>
                <w:sz w:val="18"/>
                <w:szCs w:val="18"/>
              </w:rPr>
              <w:t>≥52%</w:t>
            </w:r>
            <w:r>
              <w:rPr>
                <w:rFonts w:hint="eastAsia" w:ascii="宋体" w:hAnsi="宋体" w:eastAsia="宋体" w:cs="宋体"/>
                <w:color w:val="000000"/>
                <w:sz w:val="18"/>
                <w:szCs w:val="18"/>
              </w:rPr>
              <w:t>，气孔不应有尺寸大于</w:t>
            </w:r>
            <w:r>
              <w:rPr>
                <w:color w:val="000000"/>
                <w:sz w:val="18"/>
                <w:szCs w:val="18"/>
              </w:rPr>
              <w:t>6mm</w:t>
            </w:r>
            <w:r>
              <w:rPr>
                <w:rFonts w:hint="eastAsia" w:ascii="宋体" w:hAnsi="宋体" w:eastAsia="宋体" w:cs="宋体"/>
                <w:color w:val="000000"/>
                <w:sz w:val="18"/>
                <w:szCs w:val="18"/>
              </w:rPr>
              <w:t>的对穿孔和尺寸大于</w:t>
            </w:r>
            <w:r>
              <w:rPr>
                <w:color w:val="000000"/>
                <w:sz w:val="18"/>
                <w:szCs w:val="18"/>
              </w:rPr>
              <w:t>10mm</w:t>
            </w:r>
            <w:r>
              <w:rPr>
                <w:rFonts w:hint="eastAsia" w:ascii="宋体" w:hAnsi="宋体" w:eastAsia="宋体" w:cs="宋体"/>
                <w:color w:val="000000"/>
                <w:sz w:val="18"/>
                <w:szCs w:val="18"/>
              </w:rPr>
              <w:t>的气孔，裂缝每平方米内弥和裂缝总长应小于</w:t>
            </w:r>
            <w:r>
              <w:rPr>
                <w:color w:val="000000"/>
                <w:sz w:val="18"/>
                <w:szCs w:val="18"/>
              </w:rPr>
              <w:t>100mm,</w:t>
            </w:r>
            <w:r>
              <w:rPr>
                <w:rFonts w:hint="eastAsia" w:ascii="宋体" w:hAnsi="宋体" w:eastAsia="宋体" w:cs="宋体"/>
                <w:color w:val="000000"/>
                <w:sz w:val="18"/>
                <w:szCs w:val="18"/>
              </w:rPr>
              <w:t>最大裂缝长度应小于</w:t>
            </w:r>
            <w:r>
              <w:rPr>
                <w:color w:val="000000"/>
                <w:sz w:val="18"/>
                <w:szCs w:val="18"/>
              </w:rPr>
              <w:t>30m</w:t>
            </w:r>
            <w:r>
              <w:rPr>
                <w:rFonts w:hint="eastAsia" w:ascii="宋体" w:hAnsi="宋体" w:eastAsia="宋体" w:cs="宋体"/>
                <w:color w:val="000000"/>
                <w:sz w:val="18"/>
                <w:szCs w:val="18"/>
              </w:rPr>
              <w:t>，不应有不弥合裂缝，游离甲醛</w:t>
            </w:r>
            <w:r>
              <w:rPr>
                <w:color w:val="000000"/>
                <w:sz w:val="18"/>
                <w:szCs w:val="18"/>
              </w:rPr>
              <w:t>≤6.0mg/kg</w:t>
            </w:r>
            <w:r>
              <w:rPr>
                <w:rFonts w:hint="eastAsia" w:ascii="宋体" w:hAnsi="宋体" w:eastAsia="宋体" w:cs="宋体"/>
                <w:color w:val="000000"/>
                <w:sz w:val="18"/>
                <w:szCs w:val="18"/>
              </w:rPr>
              <w:t>（提供</w:t>
            </w:r>
            <w:r>
              <w:rPr>
                <w:color w:val="000000"/>
                <w:sz w:val="18"/>
                <w:szCs w:val="18"/>
              </w:rPr>
              <w:t>“</w:t>
            </w:r>
            <w:r>
              <w:rPr>
                <w:rFonts w:hint="eastAsia" w:ascii="宋体" w:hAnsi="宋体" w:eastAsia="宋体" w:cs="宋体"/>
                <w:color w:val="000000"/>
                <w:sz w:val="18"/>
                <w:szCs w:val="18"/>
              </w:rPr>
              <w:t>海绵</w:t>
            </w:r>
            <w:r>
              <w:rPr>
                <w:color w:val="000000"/>
                <w:sz w:val="18"/>
                <w:szCs w:val="18"/>
              </w:rPr>
              <w:t>”</w:t>
            </w:r>
            <w:r>
              <w:rPr>
                <w:rFonts w:hint="eastAsia" w:ascii="宋体" w:hAnsi="宋体" w:eastAsia="宋体" w:cs="宋体"/>
                <w:color w:val="000000"/>
                <w:sz w:val="18"/>
                <w:szCs w:val="18"/>
              </w:rPr>
              <w:t>带</w:t>
            </w:r>
            <w:r>
              <w:rPr>
                <w:color w:val="000000"/>
                <w:sz w:val="18"/>
                <w:szCs w:val="18"/>
              </w:rPr>
              <w:t>CNAS</w:t>
            </w:r>
            <w:r>
              <w:rPr>
                <w:rFonts w:hint="eastAsia" w:ascii="宋体" w:hAnsi="宋体" w:eastAsia="宋体" w:cs="宋体"/>
                <w:color w:val="000000"/>
                <w:sz w:val="18"/>
                <w:szCs w:val="18"/>
              </w:rPr>
              <w:t>或</w:t>
            </w:r>
            <w:r>
              <w:rPr>
                <w:color w:val="000000"/>
                <w:sz w:val="18"/>
                <w:szCs w:val="18"/>
              </w:rPr>
              <w:t>CMA</w:t>
            </w:r>
            <w:r>
              <w:rPr>
                <w:rFonts w:hint="eastAsia" w:ascii="宋体" w:hAnsi="宋体" w:eastAsia="宋体" w:cs="宋体"/>
                <w:color w:val="000000"/>
                <w:sz w:val="18"/>
                <w:szCs w:val="18"/>
              </w:rPr>
              <w:t>的第三方检测机构出具的检测报告扫描件）；</w:t>
            </w:r>
          </w:p>
          <w:p>
            <w:pPr>
              <w:widowControl/>
              <w:jc w:val="left"/>
              <w:textAlignment w:val="center"/>
              <w:rPr>
                <w:color w:val="000000"/>
                <w:sz w:val="18"/>
                <w:szCs w:val="18"/>
              </w:rPr>
            </w:pPr>
            <w:r>
              <w:rPr>
                <w:color w:val="000000"/>
                <w:sz w:val="18"/>
                <w:szCs w:val="18"/>
              </w:rPr>
              <w:t>3.▲</w:t>
            </w:r>
            <w:r>
              <w:rPr>
                <w:rFonts w:hint="eastAsia" w:ascii="宋体" w:hAnsi="宋体" w:eastAsia="宋体" w:cs="宋体"/>
                <w:color w:val="000000"/>
                <w:sz w:val="18"/>
                <w:szCs w:val="18"/>
              </w:rPr>
              <w:t>内框架：采用</w:t>
            </w:r>
            <w:r>
              <w:rPr>
                <w:color w:val="000000"/>
                <w:sz w:val="18"/>
                <w:szCs w:val="18"/>
              </w:rPr>
              <w:t>E0</w:t>
            </w:r>
            <w:r>
              <w:rPr>
                <w:rFonts w:hint="eastAsia" w:ascii="宋体" w:hAnsi="宋体" w:eastAsia="宋体" w:cs="宋体"/>
                <w:color w:val="000000"/>
                <w:sz w:val="18"/>
                <w:szCs w:val="18"/>
              </w:rPr>
              <w:t>级曲木板，结实耐用，符合标准</w:t>
            </w:r>
            <w:r>
              <w:rPr>
                <w:color w:val="000000"/>
                <w:sz w:val="18"/>
                <w:szCs w:val="18"/>
              </w:rPr>
              <w:t>GB/T9846-2015</w:t>
            </w:r>
            <w:r>
              <w:rPr>
                <w:rFonts w:hint="eastAsia" w:ascii="宋体" w:hAnsi="宋体" w:eastAsia="宋体" w:cs="宋体"/>
                <w:color w:val="000000"/>
                <w:sz w:val="18"/>
                <w:szCs w:val="18"/>
              </w:rPr>
              <w:t>、</w:t>
            </w:r>
            <w:r>
              <w:rPr>
                <w:color w:val="000000"/>
                <w:sz w:val="18"/>
                <w:szCs w:val="18"/>
              </w:rPr>
              <w:t>GB/T39600-2021</w:t>
            </w:r>
            <w:r>
              <w:rPr>
                <w:rFonts w:hint="eastAsia" w:ascii="宋体" w:hAnsi="宋体" w:eastAsia="宋体" w:cs="宋体"/>
                <w:color w:val="000000"/>
                <w:sz w:val="18"/>
                <w:szCs w:val="18"/>
              </w:rPr>
              <w:t>要求，含水率</w:t>
            </w:r>
            <w:r>
              <w:rPr>
                <w:color w:val="000000"/>
                <w:sz w:val="18"/>
                <w:szCs w:val="18"/>
              </w:rPr>
              <w:t>≤9</w:t>
            </w:r>
            <w:r>
              <w:rPr>
                <w:rFonts w:hint="eastAsia"/>
                <w:color w:val="000000"/>
                <w:sz w:val="18"/>
                <w:szCs w:val="18"/>
              </w:rPr>
              <w:t>%</w:t>
            </w:r>
            <w:r>
              <w:rPr>
                <w:rFonts w:hint="eastAsia" w:ascii="宋体" w:hAnsi="宋体" w:eastAsia="宋体" w:cs="宋体"/>
                <w:color w:val="000000"/>
                <w:sz w:val="18"/>
                <w:szCs w:val="18"/>
              </w:rPr>
              <w:t>，甲醛释放量</w:t>
            </w:r>
            <w:r>
              <w:rPr>
                <w:color w:val="000000"/>
                <w:sz w:val="18"/>
                <w:szCs w:val="18"/>
              </w:rPr>
              <w:t>≤0.018mg/m³</w:t>
            </w:r>
            <w:r>
              <w:rPr>
                <w:rFonts w:hint="eastAsia" w:ascii="宋体" w:hAnsi="宋体" w:eastAsia="宋体" w:cs="宋体"/>
                <w:color w:val="000000"/>
                <w:sz w:val="18"/>
                <w:szCs w:val="18"/>
              </w:rPr>
              <w:t>，抗细菌性能符合绿脓假单胞菌</w:t>
            </w:r>
            <w:r>
              <w:rPr>
                <w:color w:val="000000"/>
                <w:sz w:val="18"/>
                <w:szCs w:val="18"/>
              </w:rPr>
              <w:t>(</w:t>
            </w:r>
            <w:r>
              <w:rPr>
                <w:rFonts w:hint="eastAsia" w:ascii="宋体" w:hAnsi="宋体" w:eastAsia="宋体" w:cs="宋体"/>
                <w:color w:val="000000"/>
                <w:sz w:val="18"/>
                <w:szCs w:val="18"/>
              </w:rPr>
              <w:t>绿脓杆菌</w:t>
            </w:r>
            <w:r>
              <w:rPr>
                <w:color w:val="000000"/>
                <w:sz w:val="18"/>
                <w:szCs w:val="18"/>
              </w:rPr>
              <w:t>)≥98%</w:t>
            </w:r>
            <w:r>
              <w:rPr>
                <w:rFonts w:hint="eastAsia" w:ascii="宋体" w:hAnsi="宋体" w:eastAsia="宋体" w:cs="宋体"/>
                <w:color w:val="000000"/>
                <w:sz w:val="18"/>
                <w:szCs w:val="18"/>
              </w:rPr>
              <w:t>，嗜麦芽糖寡养单胞菌</w:t>
            </w:r>
            <w:r>
              <w:rPr>
                <w:color w:val="000000"/>
                <w:sz w:val="18"/>
                <w:szCs w:val="18"/>
              </w:rPr>
              <w:t>≥98%</w:t>
            </w:r>
            <w:r>
              <w:rPr>
                <w:rFonts w:hint="eastAsia" w:ascii="宋体" w:hAnsi="宋体" w:eastAsia="宋体" w:cs="宋体"/>
                <w:color w:val="000000"/>
                <w:sz w:val="18"/>
                <w:szCs w:val="18"/>
              </w:rPr>
              <w:t>，静曲强度（顺纹）试件强度值</w:t>
            </w:r>
            <w:r>
              <w:rPr>
                <w:color w:val="000000"/>
                <w:sz w:val="18"/>
                <w:szCs w:val="18"/>
              </w:rPr>
              <w:t>≥130MPa</w:t>
            </w:r>
            <w:r>
              <w:rPr>
                <w:rFonts w:hint="eastAsia" w:ascii="宋体" w:hAnsi="宋体" w:eastAsia="宋体" w:cs="宋体"/>
                <w:color w:val="000000"/>
                <w:sz w:val="18"/>
                <w:szCs w:val="18"/>
              </w:rPr>
              <w:t>，静曲强度（横纹）试件强度值</w:t>
            </w:r>
            <w:r>
              <w:rPr>
                <w:color w:val="000000"/>
                <w:sz w:val="18"/>
                <w:szCs w:val="18"/>
              </w:rPr>
              <w:t>≥130M</w:t>
            </w:r>
            <w:r>
              <w:rPr>
                <w:sz w:val="18"/>
                <w:szCs w:val="18"/>
              </w:rPr>
              <w:t>Pa</w:t>
            </w:r>
            <w:r>
              <w:rPr>
                <w:rFonts w:hint="eastAsia" w:ascii="宋体" w:hAnsi="宋体" w:eastAsia="宋体" w:cs="宋体"/>
                <w:sz w:val="18"/>
                <w:szCs w:val="18"/>
              </w:rPr>
              <w:t>（提供</w:t>
            </w:r>
            <w:r>
              <w:rPr>
                <w:sz w:val="18"/>
                <w:szCs w:val="18"/>
              </w:rPr>
              <w:t>“E0</w:t>
            </w:r>
            <w:r>
              <w:rPr>
                <w:rFonts w:hint="eastAsia" w:ascii="宋体" w:hAnsi="宋体" w:eastAsia="宋体" w:cs="宋体"/>
                <w:sz w:val="18"/>
                <w:szCs w:val="18"/>
              </w:rPr>
              <w:t>级曲木板</w:t>
            </w:r>
            <w:r>
              <w:rPr>
                <w:sz w:val="18"/>
                <w:szCs w:val="18"/>
              </w:rPr>
              <w:t>”</w:t>
            </w:r>
            <w:r>
              <w:rPr>
                <w:rFonts w:hint="eastAsia" w:ascii="宋体" w:hAnsi="宋体" w:eastAsia="宋体" w:cs="宋体"/>
                <w:sz w:val="18"/>
                <w:szCs w:val="18"/>
              </w:rPr>
              <w:t>带</w:t>
            </w:r>
            <w:r>
              <w:rPr>
                <w:sz w:val="18"/>
                <w:szCs w:val="18"/>
              </w:rPr>
              <w:t>CNAS</w:t>
            </w:r>
            <w:r>
              <w:rPr>
                <w:rFonts w:hint="eastAsia" w:ascii="宋体" w:hAnsi="宋体" w:eastAsia="宋体" w:cs="宋体"/>
                <w:sz w:val="18"/>
                <w:szCs w:val="18"/>
              </w:rPr>
              <w:t>或</w:t>
            </w:r>
            <w:r>
              <w:rPr>
                <w:sz w:val="18"/>
                <w:szCs w:val="18"/>
              </w:rPr>
              <w:t>CMA</w:t>
            </w:r>
            <w:r>
              <w:rPr>
                <w:rFonts w:hint="eastAsia" w:ascii="宋体" w:hAnsi="宋体" w:eastAsia="宋体" w:cs="宋体"/>
                <w:sz w:val="18"/>
                <w:szCs w:val="18"/>
              </w:rPr>
              <w:t>的第三方检测报告影印件）。</w:t>
            </w:r>
          </w:p>
          <w:p>
            <w:pPr>
              <w:widowControl/>
              <w:jc w:val="left"/>
              <w:textAlignment w:val="center"/>
              <w:rPr>
                <w:color w:val="000000"/>
                <w:sz w:val="18"/>
                <w:szCs w:val="18"/>
              </w:rPr>
            </w:pPr>
            <w:r>
              <w:rPr>
                <w:color w:val="000000"/>
                <w:sz w:val="18"/>
                <w:szCs w:val="18"/>
              </w:rPr>
              <w:t>4.</w:t>
            </w:r>
            <w:r>
              <w:rPr>
                <w:rFonts w:hint="eastAsia" w:ascii="宋体" w:hAnsi="宋体" w:eastAsia="宋体" w:cs="宋体"/>
                <w:color w:val="000000"/>
                <w:sz w:val="18"/>
                <w:szCs w:val="18"/>
              </w:rPr>
              <w:t>底盘：采用</w:t>
            </w:r>
            <w:r>
              <w:rPr>
                <w:color w:val="000000"/>
                <w:sz w:val="18"/>
                <w:szCs w:val="18"/>
              </w:rPr>
              <w:t>25MM</w:t>
            </w:r>
            <w:r>
              <w:rPr>
                <w:rFonts w:hint="eastAsia" w:ascii="宋体" w:hAnsi="宋体" w:eastAsia="宋体" w:cs="宋体"/>
                <w:color w:val="000000"/>
                <w:sz w:val="18"/>
                <w:szCs w:val="18"/>
              </w:rPr>
              <w:t>实心钢板冲压成型，可以操控升降，逍遥锁定，前后滑行功能，吧圈采用专用电镀吧圈结合实心钢板冲压成型，方便高位就坐承脚。</w:t>
            </w:r>
          </w:p>
          <w:p>
            <w:pPr>
              <w:widowControl/>
              <w:jc w:val="left"/>
              <w:textAlignment w:val="center"/>
            </w:pPr>
            <w:r>
              <w:rPr>
                <w:color w:val="000000"/>
                <w:sz w:val="18"/>
                <w:szCs w:val="18"/>
              </w:rPr>
              <w:t>5.▲</w:t>
            </w:r>
            <w:r>
              <w:rPr>
                <w:rFonts w:hint="eastAsia" w:ascii="宋体" w:hAnsi="宋体" w:eastAsia="宋体" w:cs="宋体"/>
                <w:color w:val="000000"/>
                <w:sz w:val="18"/>
                <w:szCs w:val="18"/>
              </w:rPr>
              <w:t>滑轮：动载荷符合</w:t>
            </w:r>
            <w:r>
              <w:rPr>
                <w:color w:val="000000"/>
                <w:sz w:val="18"/>
                <w:szCs w:val="18"/>
              </w:rPr>
              <w:t>F3=250N</w:t>
            </w:r>
            <w:r>
              <w:rPr>
                <w:rFonts w:hint="eastAsia" w:ascii="宋体" w:hAnsi="宋体" w:eastAsia="宋体" w:cs="宋体"/>
                <w:color w:val="000000"/>
                <w:sz w:val="18"/>
                <w:szCs w:val="18"/>
              </w:rPr>
              <w:t>，未出现分离和松动，脚轮的滚动、旋转和制动等功能无受损</w:t>
            </w:r>
            <w:r>
              <w:rPr>
                <w:rFonts w:hint="eastAsia" w:ascii="宋体" w:hAnsi="宋体" w:eastAsia="宋体" w:cs="宋体"/>
              </w:rPr>
              <w:t>，</w:t>
            </w:r>
            <w:r>
              <w:rPr>
                <w:rFonts w:hint="eastAsia" w:ascii="宋体" w:hAnsi="宋体" w:eastAsia="宋体" w:cs="宋体"/>
                <w:color w:val="000000"/>
                <w:sz w:val="18"/>
                <w:szCs w:val="18"/>
              </w:rPr>
              <w:t>静载荷符合</w:t>
            </w:r>
            <w:r>
              <w:rPr>
                <w:color w:val="000000"/>
                <w:sz w:val="18"/>
                <w:szCs w:val="18"/>
              </w:rPr>
              <w:t>F8=400N</w:t>
            </w:r>
            <w:r>
              <w:rPr>
                <w:rFonts w:hint="eastAsia" w:ascii="宋体" w:hAnsi="宋体" w:eastAsia="宋体" w:cs="宋体"/>
                <w:color w:val="000000"/>
                <w:sz w:val="18"/>
                <w:szCs w:val="18"/>
              </w:rPr>
              <w:t>，测试前轮径</w:t>
            </w:r>
            <w:r>
              <w:rPr>
                <w:color w:val="000000"/>
                <w:sz w:val="18"/>
                <w:szCs w:val="18"/>
              </w:rPr>
              <w:t>D=75mm</w:t>
            </w:r>
            <w:r>
              <w:rPr>
                <w:rFonts w:hint="eastAsia" w:ascii="宋体" w:hAnsi="宋体" w:eastAsia="宋体" w:cs="宋体"/>
                <w:color w:val="000000"/>
                <w:sz w:val="18"/>
                <w:szCs w:val="18"/>
              </w:rPr>
              <w:t>，静载荷</w:t>
            </w:r>
            <w:r>
              <w:rPr>
                <w:color w:val="000000"/>
                <w:sz w:val="18"/>
                <w:szCs w:val="18"/>
              </w:rPr>
              <w:t>24h</w:t>
            </w:r>
            <w:r>
              <w:rPr>
                <w:rFonts w:hint="eastAsia" w:ascii="宋体" w:hAnsi="宋体" w:eastAsia="宋体" w:cs="宋体"/>
                <w:color w:val="000000"/>
                <w:sz w:val="18"/>
                <w:szCs w:val="18"/>
              </w:rPr>
              <w:t>后，轮径</w:t>
            </w:r>
            <w:r>
              <w:rPr>
                <w:color w:val="000000"/>
                <w:sz w:val="18"/>
                <w:szCs w:val="18"/>
              </w:rPr>
              <w:t>D=74.2mm</w:t>
            </w:r>
            <w:r>
              <w:rPr>
                <w:rFonts w:hint="eastAsia" w:ascii="宋体" w:hAnsi="宋体" w:eastAsia="宋体" w:cs="宋体"/>
                <w:color w:val="000000"/>
                <w:sz w:val="18"/>
                <w:szCs w:val="18"/>
              </w:rPr>
              <w:t>，变形量</w:t>
            </w:r>
            <w:r>
              <w:rPr>
                <w:color w:val="000000"/>
                <w:sz w:val="18"/>
                <w:szCs w:val="18"/>
              </w:rPr>
              <w:t>1.1%</w:t>
            </w:r>
            <w:r>
              <w:rPr>
                <w:rFonts w:hint="eastAsia" w:ascii="宋体" w:hAnsi="宋体" w:eastAsia="宋体" w:cs="宋体"/>
                <w:color w:val="000000"/>
                <w:sz w:val="18"/>
                <w:szCs w:val="18"/>
              </w:rPr>
              <w:t>，且脚轮的零部件未出现分离和松动，脚轮的滚动、旋转和制动等功能未受到损伤。（提供</w:t>
            </w:r>
            <w:r>
              <w:rPr>
                <w:color w:val="000000"/>
                <w:sz w:val="18"/>
                <w:szCs w:val="18"/>
              </w:rPr>
              <w:t>“</w:t>
            </w:r>
            <w:r>
              <w:rPr>
                <w:rFonts w:hint="eastAsia" w:ascii="宋体" w:hAnsi="宋体" w:eastAsia="宋体" w:cs="宋体"/>
                <w:color w:val="000000"/>
                <w:sz w:val="18"/>
                <w:szCs w:val="18"/>
              </w:rPr>
              <w:t>滑轮</w:t>
            </w:r>
            <w:r>
              <w:rPr>
                <w:color w:val="000000"/>
                <w:sz w:val="18"/>
                <w:szCs w:val="18"/>
              </w:rPr>
              <w:t>”</w:t>
            </w:r>
            <w:r>
              <w:rPr>
                <w:rFonts w:hint="eastAsia" w:ascii="宋体" w:hAnsi="宋体" w:eastAsia="宋体" w:cs="宋体"/>
                <w:color w:val="000000"/>
                <w:sz w:val="18"/>
                <w:szCs w:val="18"/>
              </w:rPr>
              <w:t>带</w:t>
            </w:r>
            <w:r>
              <w:rPr>
                <w:color w:val="000000"/>
                <w:sz w:val="18"/>
                <w:szCs w:val="18"/>
              </w:rPr>
              <w:t>CNAS</w:t>
            </w:r>
            <w:r>
              <w:rPr>
                <w:rFonts w:hint="eastAsia" w:ascii="宋体" w:hAnsi="宋体" w:eastAsia="宋体" w:cs="宋体"/>
                <w:color w:val="000000"/>
                <w:sz w:val="18"/>
                <w:szCs w:val="18"/>
              </w:rPr>
              <w:t>或</w:t>
            </w:r>
            <w:r>
              <w:rPr>
                <w:color w:val="000000"/>
                <w:sz w:val="18"/>
                <w:szCs w:val="18"/>
              </w:rPr>
              <w:t>CMA</w:t>
            </w:r>
            <w:r>
              <w:rPr>
                <w:rFonts w:hint="eastAsia" w:ascii="宋体" w:hAnsi="宋体" w:eastAsia="宋体" w:cs="宋体"/>
                <w:color w:val="000000"/>
                <w:sz w:val="18"/>
                <w:szCs w:val="18"/>
              </w:rPr>
              <w:t>的第三方检测报告影印件）。</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18"/>
                <w:szCs w:val="18"/>
              </w:rPr>
            </w:pPr>
            <w:r>
              <w:rPr>
                <w:color w:val="000000"/>
                <w:sz w:val="18"/>
                <w:szCs w:val="18"/>
              </w:rPr>
              <w:t>5</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18"/>
                <w:szCs w:val="18"/>
              </w:rPr>
            </w:pPr>
            <w:r>
              <w:rPr>
                <w:rFonts w:hint="eastAsia" w:ascii="宋体" w:hAnsi="宋体" w:eastAsia="宋体" w:cs="宋体"/>
                <w:color w:val="000000"/>
                <w:sz w:val="18"/>
                <w:szCs w:val="18"/>
              </w:rPr>
              <w:t>把</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18"/>
                <w:szCs w:val="18"/>
              </w:rPr>
            </w:pPr>
            <w:r>
              <w:drawing>
                <wp:inline distT="0" distB="0" distL="0" distR="0">
                  <wp:extent cx="1052830" cy="1477010"/>
                  <wp:effectExtent l="0" t="0" r="1397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52830" cy="147701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58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 w:hAnsi="??" w:cs="??"/>
                <w:color w:val="000000"/>
                <w:szCs w:val="21"/>
              </w:rPr>
            </w:pPr>
            <w:r>
              <w:rPr>
                <w:rFonts w:ascii="??" w:hAnsi="??" w:cs="??"/>
                <w:color w:val="000000"/>
                <w:kern w:val="0"/>
                <w:szCs w:val="21"/>
              </w:rPr>
              <w:t>3</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 w:hAnsi="??" w:cs="??"/>
                <w:color w:val="000000"/>
                <w:szCs w:val="21"/>
              </w:rPr>
            </w:pPr>
          </w:p>
          <w:p>
            <w:pPr>
              <w:widowControl/>
              <w:jc w:val="center"/>
              <w:textAlignment w:val="center"/>
              <w:rPr>
                <w:rFonts w:ascii="??" w:hAnsi="??" w:cs="??"/>
                <w:color w:val="000000"/>
                <w:szCs w:val="21"/>
              </w:rPr>
            </w:pPr>
            <w:r>
              <w:rPr>
                <w:rFonts w:hint="eastAsia" w:ascii="宋体" w:hAnsi="宋体" w:eastAsia="宋体" w:cs="宋体"/>
                <w:color w:val="000000"/>
                <w:szCs w:val="21"/>
                <w:lang w:val="en-US" w:eastAsia="zh-CN"/>
              </w:rPr>
              <w:t>四</w:t>
            </w:r>
            <w:r>
              <w:rPr>
                <w:rFonts w:hint="eastAsia" w:ascii="宋体" w:hAnsi="宋体" w:eastAsia="宋体" w:cs="宋体"/>
                <w:color w:val="000000"/>
                <w:szCs w:val="21"/>
              </w:rPr>
              <w:t>人位候诊椅（有靠背）</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 w:hAnsi="??" w:cs="??"/>
                <w:color w:val="000000"/>
                <w:sz w:val="22"/>
                <w:szCs w:val="22"/>
              </w:rPr>
            </w:pPr>
            <w:r>
              <w:rPr>
                <w:rFonts w:ascii="??" w:hAnsi="??" w:cs="??"/>
                <w:color w:val="000000"/>
                <w:kern w:val="0"/>
                <w:sz w:val="18"/>
                <w:szCs w:val="18"/>
              </w:rPr>
              <w:t>1750*670*770mm</w:t>
            </w:r>
            <w:r>
              <w:rPr>
                <w:rFonts w:hint="eastAsia" w:ascii="宋体" w:hAnsi="宋体" w:eastAsia="宋体" w:cs="宋体"/>
                <w:color w:val="000000"/>
                <w:kern w:val="0"/>
                <w:sz w:val="18"/>
                <w:szCs w:val="18"/>
              </w:rPr>
              <w:t>（</w:t>
            </w:r>
            <w:r>
              <w:rPr>
                <w:rFonts w:ascii="??" w:hAnsi="??" w:cs="??"/>
                <w:color w:val="000000"/>
                <w:kern w:val="0"/>
                <w:sz w:val="18"/>
                <w:szCs w:val="18"/>
              </w:rPr>
              <w:t>±10</w:t>
            </w:r>
            <w:r>
              <w:rPr>
                <w:rFonts w:hint="eastAsia" w:ascii="宋体" w:hAnsi="宋体" w:eastAsia="宋体" w:cs="宋体"/>
                <w:color w:val="000000"/>
                <w:kern w:val="0"/>
                <w:sz w:val="18"/>
                <w:szCs w:val="18"/>
              </w:rPr>
              <w:t>）</w:t>
            </w:r>
          </w:p>
        </w:tc>
        <w:tc>
          <w:tcPr>
            <w:tcW w:w="42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7"/>
                <w:rFonts w:eastAsia="??" w:cs="??"/>
                <w:szCs w:val="18"/>
              </w:rPr>
            </w:pPr>
            <w:r>
              <w:rPr>
                <w:rStyle w:val="17"/>
                <w:rFonts w:eastAsia="??" w:cs="??"/>
                <w:szCs w:val="18"/>
              </w:rPr>
              <w:t>1.</w:t>
            </w:r>
            <w:r>
              <w:rPr>
                <w:rStyle w:val="17"/>
                <w:rFonts w:hint="eastAsia" w:ascii="宋体" w:hAnsi="宋体" w:eastAsia="宋体" w:cs="宋体"/>
                <w:szCs w:val="18"/>
              </w:rPr>
              <w:t>承重横梁：采用不小于</w:t>
            </w:r>
            <w:r>
              <w:rPr>
                <w:rStyle w:val="17"/>
                <w:rFonts w:eastAsia="??" w:cs="??"/>
                <w:szCs w:val="18"/>
              </w:rPr>
              <w:t>1.5mm</w:t>
            </w:r>
            <w:r>
              <w:rPr>
                <w:rStyle w:val="17"/>
                <w:rFonts w:hint="eastAsia" w:ascii="宋体" w:hAnsi="宋体" w:eastAsia="宋体" w:cs="宋体"/>
                <w:szCs w:val="18"/>
              </w:rPr>
              <w:t>厚度的三角钢板管，具有耐用且不易生锈特性，力学性能</w:t>
            </w:r>
            <w:r>
              <w:rPr>
                <w:rStyle w:val="17"/>
                <w:rFonts w:eastAsia="??" w:cs="??"/>
                <w:szCs w:val="18"/>
              </w:rPr>
              <w:t xml:space="preserve"> Rp0.2≥160MPa</w:t>
            </w:r>
            <w:r>
              <w:rPr>
                <w:rStyle w:val="17"/>
                <w:rFonts w:hint="eastAsia" w:ascii="宋体" w:hAnsi="宋体" w:eastAsia="宋体" w:cs="宋体"/>
                <w:szCs w:val="18"/>
              </w:rPr>
              <w:t>，</w:t>
            </w:r>
            <w:r>
              <w:rPr>
                <w:rStyle w:val="17"/>
                <w:rFonts w:eastAsia="??" w:cs="??"/>
                <w:szCs w:val="18"/>
              </w:rPr>
              <w:t>Rm≥200MPa</w:t>
            </w:r>
            <w:r>
              <w:rPr>
                <w:rStyle w:val="17"/>
                <w:rFonts w:hint="eastAsia" w:ascii="宋体" w:hAnsi="宋体" w:eastAsia="宋体" w:cs="宋体"/>
                <w:szCs w:val="18"/>
              </w:rPr>
              <w:t>，</w:t>
            </w:r>
            <w:r>
              <w:rPr>
                <w:rStyle w:val="17"/>
                <w:rFonts w:eastAsia="??" w:cs="??"/>
                <w:szCs w:val="18"/>
              </w:rPr>
              <w:t>A50≥8%</w:t>
            </w:r>
            <w:r>
              <w:rPr>
                <w:rStyle w:val="17"/>
                <w:rFonts w:hint="eastAsia" w:ascii="宋体" w:hAnsi="宋体" w:eastAsia="宋体" w:cs="宋体"/>
                <w:szCs w:val="18"/>
              </w:rPr>
              <w:t>；，结构稳固不晃动、不变形。</w:t>
            </w:r>
          </w:p>
          <w:p>
            <w:pPr>
              <w:widowControl/>
              <w:jc w:val="left"/>
              <w:textAlignment w:val="center"/>
              <w:rPr>
                <w:rStyle w:val="17"/>
                <w:rFonts w:eastAsia="??" w:cs="??"/>
                <w:szCs w:val="18"/>
              </w:rPr>
            </w:pPr>
            <w:r>
              <w:rPr>
                <w:rStyle w:val="17"/>
                <w:rFonts w:eastAsia="??" w:cs="??"/>
                <w:szCs w:val="18"/>
              </w:rPr>
              <w:t>2.</w:t>
            </w:r>
            <w:r>
              <w:rPr>
                <w:rStyle w:val="17"/>
                <w:rFonts w:hint="eastAsia" w:ascii="宋体" w:hAnsi="宋体" w:eastAsia="宋体" w:cs="宋体"/>
                <w:szCs w:val="18"/>
              </w:rPr>
              <w:t>扶手脚：采用不小于</w:t>
            </w:r>
            <w:r>
              <w:rPr>
                <w:rStyle w:val="17"/>
                <w:rFonts w:eastAsia="??" w:cs="??"/>
                <w:szCs w:val="18"/>
              </w:rPr>
              <w:t>1.2mm</w:t>
            </w:r>
            <w:r>
              <w:rPr>
                <w:rStyle w:val="17"/>
                <w:rFonts w:hint="eastAsia" w:ascii="宋体" w:hAnsi="宋体" w:eastAsia="宋体" w:cs="宋体"/>
                <w:szCs w:val="18"/>
              </w:rPr>
              <w:t>厚度的钢板管，具有耐用且不易生锈特性，力学性能</w:t>
            </w:r>
            <w:r>
              <w:rPr>
                <w:rStyle w:val="17"/>
                <w:rFonts w:eastAsia="??" w:cs="??"/>
                <w:szCs w:val="18"/>
              </w:rPr>
              <w:t xml:space="preserve"> Rp0.2≥160MPa</w:t>
            </w:r>
            <w:r>
              <w:rPr>
                <w:rStyle w:val="17"/>
                <w:rFonts w:hint="eastAsia" w:ascii="宋体" w:hAnsi="宋体" w:eastAsia="宋体" w:cs="宋体"/>
                <w:szCs w:val="18"/>
              </w:rPr>
              <w:t>，</w:t>
            </w:r>
            <w:r>
              <w:rPr>
                <w:rStyle w:val="17"/>
                <w:rFonts w:eastAsia="??" w:cs="??"/>
                <w:szCs w:val="18"/>
              </w:rPr>
              <w:t>Rm≥200MPa</w:t>
            </w:r>
            <w:r>
              <w:rPr>
                <w:rStyle w:val="17"/>
                <w:rFonts w:hint="eastAsia" w:ascii="宋体" w:hAnsi="宋体" w:eastAsia="宋体" w:cs="宋体"/>
                <w:szCs w:val="18"/>
              </w:rPr>
              <w:t>，</w:t>
            </w:r>
            <w:r>
              <w:rPr>
                <w:rStyle w:val="17"/>
                <w:rFonts w:eastAsia="??" w:cs="??"/>
                <w:szCs w:val="18"/>
              </w:rPr>
              <w:t>A50≥8%</w:t>
            </w:r>
            <w:r>
              <w:rPr>
                <w:rStyle w:val="17"/>
                <w:rFonts w:hint="eastAsia" w:ascii="宋体" w:hAnsi="宋体" w:eastAsia="宋体" w:cs="宋体"/>
                <w:szCs w:val="18"/>
              </w:rPr>
              <w:t>；，结构稳固不晃动、不变形。</w:t>
            </w:r>
          </w:p>
          <w:p>
            <w:pPr>
              <w:widowControl/>
              <w:jc w:val="left"/>
              <w:textAlignment w:val="center"/>
              <w:rPr>
                <w:rStyle w:val="17"/>
                <w:rFonts w:eastAsia="??" w:cs="??"/>
                <w:szCs w:val="18"/>
              </w:rPr>
            </w:pPr>
            <w:r>
              <w:rPr>
                <w:rStyle w:val="17"/>
                <w:rFonts w:eastAsia="??" w:cs="??"/>
                <w:szCs w:val="18"/>
              </w:rPr>
              <w:t>3.▲</w:t>
            </w:r>
            <w:r>
              <w:rPr>
                <w:rStyle w:val="17"/>
                <w:rFonts w:hint="eastAsia" w:ascii="宋体" w:hAnsi="宋体" w:eastAsia="宋体" w:cs="宋体"/>
                <w:szCs w:val="18"/>
              </w:rPr>
              <w:t>座板：采用不小于</w:t>
            </w:r>
            <w:r>
              <w:rPr>
                <w:rStyle w:val="17"/>
                <w:rFonts w:eastAsia="??" w:cs="??"/>
                <w:szCs w:val="18"/>
              </w:rPr>
              <w:t>1.2mm</w:t>
            </w:r>
            <w:r>
              <w:rPr>
                <w:rStyle w:val="17"/>
                <w:rFonts w:hint="eastAsia" w:ascii="宋体" w:hAnsi="宋体" w:eastAsia="宋体" w:cs="宋体"/>
                <w:szCs w:val="18"/>
              </w:rPr>
              <w:t>冷扎钢板。经精密冷拔成型，表面经过多次喷砂除锈，然后经静电喷处理，表面防腐能力经过强大测试，具有耐磨且不易生锈特性。符合</w:t>
            </w:r>
            <w:r>
              <w:rPr>
                <w:rStyle w:val="17"/>
                <w:rFonts w:eastAsia="??" w:cs="??"/>
                <w:szCs w:val="18"/>
              </w:rPr>
              <w:t xml:space="preserve">GB/T11253-2019 </w:t>
            </w:r>
            <w:r>
              <w:rPr>
                <w:rStyle w:val="17"/>
                <w:rFonts w:hint="eastAsia" w:ascii="宋体" w:hAnsi="宋体" w:eastAsia="宋体" w:cs="宋体"/>
                <w:szCs w:val="18"/>
              </w:rPr>
              <w:t>《碳素结构钢冷轧钢板及钢带》要求，</w:t>
            </w:r>
            <w:r>
              <w:rPr>
                <w:rStyle w:val="17"/>
                <w:rFonts w:eastAsia="??" w:cs="??"/>
                <w:szCs w:val="18"/>
              </w:rPr>
              <w:t>C≤0.12%</w:t>
            </w:r>
            <w:r>
              <w:rPr>
                <w:rStyle w:val="17"/>
                <w:rFonts w:hint="eastAsia" w:ascii="宋体" w:hAnsi="宋体" w:eastAsia="宋体" w:cs="宋体"/>
                <w:szCs w:val="18"/>
              </w:rPr>
              <w:t>，</w:t>
            </w:r>
            <w:r>
              <w:rPr>
                <w:rStyle w:val="17"/>
                <w:rFonts w:eastAsia="??" w:cs="??"/>
                <w:szCs w:val="18"/>
              </w:rPr>
              <w:t>P≤0.035%</w:t>
            </w:r>
            <w:r>
              <w:rPr>
                <w:rStyle w:val="17"/>
                <w:rFonts w:hint="eastAsia" w:ascii="宋体" w:hAnsi="宋体" w:eastAsia="宋体" w:cs="宋体"/>
                <w:szCs w:val="18"/>
              </w:rPr>
              <w:t>，</w:t>
            </w:r>
            <w:r>
              <w:rPr>
                <w:rStyle w:val="17"/>
                <w:rFonts w:eastAsia="??" w:cs="??"/>
                <w:szCs w:val="18"/>
              </w:rPr>
              <w:t>Mn≤0.7%</w:t>
            </w:r>
            <w:r>
              <w:rPr>
                <w:rStyle w:val="17"/>
                <w:rFonts w:hint="eastAsia" w:ascii="宋体" w:hAnsi="宋体" w:eastAsia="宋体" w:cs="宋体"/>
                <w:szCs w:val="18"/>
              </w:rPr>
              <w:t>，</w:t>
            </w:r>
            <w:r>
              <w:rPr>
                <w:rStyle w:val="17"/>
                <w:rFonts w:eastAsia="??" w:cs="??"/>
                <w:szCs w:val="18"/>
              </w:rPr>
              <w:t>S≤0.006%</w:t>
            </w:r>
            <w:r>
              <w:rPr>
                <w:rStyle w:val="17"/>
                <w:rFonts w:hint="eastAsia" w:ascii="宋体" w:hAnsi="宋体" w:eastAsia="宋体" w:cs="宋体"/>
                <w:szCs w:val="18"/>
              </w:rPr>
              <w:t>，</w:t>
            </w:r>
            <w:r>
              <w:rPr>
                <w:rStyle w:val="17"/>
                <w:rFonts w:eastAsia="??" w:cs="??"/>
                <w:szCs w:val="18"/>
              </w:rPr>
              <w:t>Si≤0.02%</w:t>
            </w:r>
            <w:r>
              <w:rPr>
                <w:rStyle w:val="17"/>
                <w:rFonts w:hint="eastAsia" w:ascii="宋体" w:hAnsi="宋体" w:eastAsia="宋体" w:cs="宋体"/>
                <w:szCs w:val="18"/>
              </w:rPr>
              <w:t>，力学性能抗拉强度</w:t>
            </w:r>
            <w:r>
              <w:rPr>
                <w:rStyle w:val="17"/>
                <w:rFonts w:eastAsia="??" w:cs="??"/>
                <w:szCs w:val="18"/>
              </w:rPr>
              <w:t>Rm</w:t>
            </w:r>
            <w:r>
              <w:rPr>
                <w:rStyle w:val="17"/>
                <w:rFonts w:hint="eastAsia" w:ascii="宋体" w:hAnsi="宋体" w:eastAsia="宋体" w:cs="宋体"/>
                <w:szCs w:val="18"/>
              </w:rPr>
              <w:t>：</w:t>
            </w:r>
            <w:r>
              <w:rPr>
                <w:rStyle w:val="17"/>
                <w:rFonts w:eastAsia="??" w:cs="??"/>
                <w:szCs w:val="18"/>
              </w:rPr>
              <w:t>420</w:t>
            </w:r>
            <w:r>
              <w:rPr>
                <w:rStyle w:val="17"/>
                <w:rFonts w:hint="eastAsia" w:ascii="宋体" w:hAnsi="宋体" w:eastAsia="宋体" w:cs="宋体"/>
                <w:szCs w:val="18"/>
              </w:rPr>
              <w:t>～</w:t>
            </w:r>
            <w:r>
              <w:rPr>
                <w:rStyle w:val="17"/>
                <w:rFonts w:eastAsia="??" w:cs="??"/>
                <w:szCs w:val="18"/>
              </w:rPr>
              <w:t>500MPa</w:t>
            </w:r>
            <w:r>
              <w:rPr>
                <w:rStyle w:val="17"/>
                <w:rFonts w:hint="eastAsia" w:ascii="宋体" w:hAnsi="宋体" w:eastAsia="宋体" w:cs="宋体"/>
                <w:szCs w:val="18"/>
              </w:rPr>
              <w:t>，屈服强度</w:t>
            </w:r>
            <w:r>
              <w:rPr>
                <w:rStyle w:val="17"/>
                <w:rFonts w:eastAsia="??" w:cs="??"/>
                <w:szCs w:val="18"/>
              </w:rPr>
              <w:t>Rel≥290MPa</w:t>
            </w:r>
            <w:r>
              <w:rPr>
                <w:rStyle w:val="17"/>
                <w:rFonts w:hint="eastAsia" w:ascii="宋体" w:hAnsi="宋体" w:eastAsia="宋体" w:cs="宋体"/>
                <w:szCs w:val="18"/>
              </w:rPr>
              <w:t>（提供</w:t>
            </w:r>
            <w:r>
              <w:rPr>
                <w:rStyle w:val="17"/>
                <w:rFonts w:eastAsia="??" w:cs="??"/>
                <w:szCs w:val="18"/>
              </w:rPr>
              <w:t>“</w:t>
            </w:r>
            <w:r>
              <w:rPr>
                <w:rStyle w:val="17"/>
                <w:rFonts w:hint="eastAsia" w:ascii="宋体" w:hAnsi="宋体" w:eastAsia="宋体" w:cs="宋体"/>
                <w:szCs w:val="18"/>
              </w:rPr>
              <w:t>冷轧钢板</w:t>
            </w:r>
            <w:r>
              <w:rPr>
                <w:rStyle w:val="17"/>
                <w:rFonts w:eastAsia="??" w:cs="??"/>
                <w:szCs w:val="18"/>
              </w:rPr>
              <w:t>”</w:t>
            </w:r>
            <w:r>
              <w:rPr>
                <w:rStyle w:val="17"/>
                <w:rFonts w:hint="eastAsia" w:ascii="宋体" w:hAnsi="宋体" w:eastAsia="宋体" w:cs="宋体"/>
                <w:szCs w:val="18"/>
              </w:rPr>
              <w:t>带</w:t>
            </w:r>
            <w:r>
              <w:rPr>
                <w:rStyle w:val="17"/>
                <w:rFonts w:eastAsia="??" w:cs="??"/>
                <w:szCs w:val="18"/>
              </w:rPr>
              <w:t>CNAS</w:t>
            </w:r>
            <w:r>
              <w:rPr>
                <w:rStyle w:val="17"/>
                <w:rFonts w:hint="eastAsia" w:ascii="宋体" w:hAnsi="宋体" w:eastAsia="宋体" w:cs="宋体"/>
                <w:szCs w:val="18"/>
              </w:rPr>
              <w:t>或</w:t>
            </w:r>
            <w:r>
              <w:rPr>
                <w:rStyle w:val="17"/>
                <w:rFonts w:eastAsia="??" w:cs="??"/>
                <w:szCs w:val="18"/>
              </w:rPr>
              <w:t>CMA</w:t>
            </w:r>
            <w:r>
              <w:rPr>
                <w:rStyle w:val="17"/>
                <w:rFonts w:hint="eastAsia" w:ascii="宋体" w:hAnsi="宋体" w:eastAsia="宋体" w:cs="宋体"/>
                <w:szCs w:val="18"/>
              </w:rPr>
              <w:t>的第三方检测报告影印件）；</w:t>
            </w:r>
          </w:p>
          <w:p>
            <w:pPr>
              <w:widowControl/>
              <w:jc w:val="left"/>
              <w:textAlignment w:val="center"/>
              <w:rPr>
                <w:rStyle w:val="17"/>
                <w:rFonts w:eastAsia="??" w:cs="??"/>
                <w:szCs w:val="18"/>
              </w:rPr>
            </w:pPr>
            <w:r>
              <w:rPr>
                <w:rStyle w:val="17"/>
                <w:rFonts w:eastAsia="??" w:cs="??"/>
                <w:szCs w:val="18"/>
              </w:rPr>
              <w:t>4.</w:t>
            </w:r>
            <w:r>
              <w:rPr>
                <w:rStyle w:val="17"/>
                <w:rFonts w:hint="eastAsia" w:ascii="宋体" w:hAnsi="宋体" w:eastAsia="宋体" w:cs="宋体"/>
                <w:szCs w:val="18"/>
              </w:rPr>
              <w:t>垫子：</w:t>
            </w:r>
            <w:r>
              <w:rPr>
                <w:rStyle w:val="17"/>
                <w:rFonts w:eastAsia="??" w:cs="??"/>
                <w:szCs w:val="18"/>
              </w:rPr>
              <w:t>PU</w:t>
            </w:r>
            <w:r>
              <w:rPr>
                <w:rStyle w:val="17"/>
                <w:rFonts w:hint="eastAsia" w:ascii="宋体" w:hAnsi="宋体" w:eastAsia="宋体" w:cs="宋体"/>
                <w:szCs w:val="18"/>
              </w:rPr>
              <w:t>革覆面，内衬聚氨甲酸酯，简称聚氨酯泡沫，由组合聚醚</w:t>
            </w:r>
            <w:r>
              <w:rPr>
                <w:rStyle w:val="17"/>
                <w:rFonts w:eastAsia="??" w:cs="??"/>
                <w:szCs w:val="18"/>
              </w:rPr>
              <w:t>A</w:t>
            </w:r>
            <w:r>
              <w:rPr>
                <w:rStyle w:val="17"/>
                <w:rFonts w:hint="eastAsia" w:ascii="宋体" w:hAnsi="宋体" w:eastAsia="宋体" w:cs="宋体"/>
                <w:szCs w:val="18"/>
              </w:rPr>
              <w:t>与组合聚醚</w:t>
            </w:r>
            <w:r>
              <w:rPr>
                <w:rStyle w:val="17"/>
                <w:rFonts w:eastAsia="??" w:cs="??"/>
                <w:szCs w:val="18"/>
              </w:rPr>
              <w:t>B</w:t>
            </w:r>
            <w:r>
              <w:rPr>
                <w:rStyle w:val="17"/>
                <w:rFonts w:hint="eastAsia" w:ascii="宋体" w:hAnsi="宋体" w:eastAsia="宋体" w:cs="宋体"/>
                <w:szCs w:val="18"/>
              </w:rPr>
              <w:t>，混合发泡成型弯板</w:t>
            </w:r>
            <w:r>
              <w:rPr>
                <w:rStyle w:val="17"/>
                <w:rFonts w:eastAsia="??" w:cs="??"/>
                <w:szCs w:val="18"/>
              </w:rPr>
              <w:t>PU</w:t>
            </w:r>
            <w:r>
              <w:rPr>
                <w:rStyle w:val="17"/>
                <w:rFonts w:hint="eastAsia" w:ascii="宋体" w:hAnsi="宋体" w:eastAsia="宋体" w:cs="宋体"/>
                <w:szCs w:val="18"/>
              </w:rPr>
              <w:t>。</w:t>
            </w:r>
          </w:p>
          <w:p>
            <w:pPr>
              <w:widowControl/>
              <w:jc w:val="left"/>
              <w:textAlignment w:val="center"/>
              <w:rPr>
                <w:rStyle w:val="17"/>
                <w:rFonts w:eastAsia="??" w:cs="??"/>
                <w:szCs w:val="18"/>
              </w:rPr>
            </w:pPr>
            <w:r>
              <w:rPr>
                <w:rStyle w:val="17"/>
                <w:rFonts w:eastAsia="??" w:cs="??"/>
                <w:szCs w:val="18"/>
              </w:rPr>
              <w:t>5.</w:t>
            </w:r>
            <w:r>
              <w:rPr>
                <w:rStyle w:val="17"/>
                <w:rFonts w:hint="eastAsia" w:ascii="宋体" w:hAnsi="宋体" w:eastAsia="宋体" w:cs="宋体"/>
                <w:szCs w:val="18"/>
              </w:rPr>
              <w:t>支撑架：椅面采用底部支撑架连接，底部支撑架</w:t>
            </w:r>
            <w:r>
              <w:rPr>
                <w:rStyle w:val="17"/>
                <w:rFonts w:eastAsia="??" w:cs="??"/>
                <w:szCs w:val="18"/>
              </w:rPr>
              <w:t>≥4.5mm</w:t>
            </w:r>
            <w:r>
              <w:rPr>
                <w:rStyle w:val="17"/>
                <w:rFonts w:hint="eastAsia" w:ascii="宋体" w:hAnsi="宋体" w:eastAsia="宋体" w:cs="宋体"/>
                <w:szCs w:val="18"/>
              </w:rPr>
              <w:t>冷轧钢板折弯成型，表面喷涂处理，使整排座椅使用后保持一条水平线，加强椅面稳固性能，椅面安装位置可根据具体要求进行调整。</w:t>
            </w:r>
            <w:r>
              <w:rPr>
                <w:rStyle w:val="17"/>
                <w:rFonts w:eastAsia="??" w:cs="??"/>
                <w:szCs w:val="18"/>
              </w:rPr>
              <w:t xml:space="preserve">                          </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7"/>
                <w:rFonts w:eastAsia="??" w:cs="??"/>
                <w:szCs w:val="18"/>
              </w:rPr>
            </w:pPr>
          </w:p>
          <w:p>
            <w:pPr>
              <w:widowControl/>
              <w:jc w:val="center"/>
              <w:textAlignment w:val="center"/>
              <w:rPr>
                <w:rStyle w:val="17"/>
                <w:rFonts w:hint="eastAsia" w:eastAsia="??" w:cs="??"/>
                <w:szCs w:val="18"/>
                <w:lang w:eastAsia="zh-CN"/>
              </w:rPr>
            </w:pPr>
            <w:r>
              <w:rPr>
                <w:rStyle w:val="17"/>
                <w:rFonts w:hint="eastAsia" w:cs="??"/>
                <w:szCs w:val="18"/>
                <w:lang w:val="en-US" w:eastAsia="zh-CN"/>
              </w:rPr>
              <w:t>1</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7"/>
                <w:rFonts w:eastAsia="??" w:cs="??"/>
                <w:szCs w:val="18"/>
              </w:rPr>
            </w:pPr>
          </w:p>
          <w:p>
            <w:pPr>
              <w:widowControl/>
              <w:jc w:val="center"/>
              <w:textAlignment w:val="center"/>
              <w:rPr>
                <w:rStyle w:val="17"/>
                <w:rFonts w:eastAsia="??" w:cs="??"/>
                <w:szCs w:val="18"/>
              </w:rPr>
            </w:pPr>
            <w:r>
              <w:rPr>
                <w:rStyle w:val="17"/>
                <w:rFonts w:hint="eastAsia" w:ascii="宋体" w:hAnsi="宋体" w:eastAsia="宋体" w:cs="宋体"/>
                <w:szCs w:val="18"/>
              </w:rPr>
              <w:t>组</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7"/>
                <w:rFonts w:eastAsia="??" w:cs="??"/>
                <w:szCs w:val="18"/>
              </w:rPr>
            </w:pPr>
          </w:p>
          <w:p>
            <w:pPr>
              <w:pStyle w:val="2"/>
              <w:rPr>
                <w:rStyle w:val="17"/>
                <w:rFonts w:eastAsia="??" w:cs="??"/>
                <w:szCs w:val="18"/>
              </w:rPr>
            </w:pPr>
          </w:p>
          <w:p>
            <w:pPr>
              <w:rPr>
                <w:rStyle w:val="17"/>
                <w:rFonts w:eastAsia="??" w:cs="??"/>
                <w:szCs w:val="18"/>
              </w:rPr>
            </w:pPr>
          </w:p>
          <w:p>
            <w:pPr>
              <w:pStyle w:val="2"/>
              <w:rPr>
                <w:rStyle w:val="17"/>
                <w:rFonts w:eastAsia="??" w:cs="??"/>
                <w:szCs w:val="18"/>
              </w:rPr>
            </w:pPr>
          </w:p>
          <w:p>
            <w:pPr>
              <w:rPr>
                <w:rStyle w:val="17"/>
                <w:rFonts w:eastAsia="??" w:cs="??"/>
                <w:szCs w:val="18"/>
              </w:rPr>
            </w:pPr>
          </w:p>
          <w:p>
            <w:pPr>
              <w:pStyle w:val="2"/>
              <w:rPr>
                <w:rStyle w:val="17"/>
                <w:rFonts w:eastAsia="??" w:cs="??"/>
                <w:szCs w:val="18"/>
              </w:rPr>
            </w:pPr>
          </w:p>
          <w:p>
            <w:pPr>
              <w:rPr>
                <w:rStyle w:val="17"/>
                <w:rFonts w:eastAsia="??" w:cs="??"/>
                <w:szCs w:val="18"/>
              </w:rPr>
            </w:pPr>
          </w:p>
          <w:p>
            <w:pPr>
              <w:pStyle w:val="2"/>
              <w:rPr>
                <w:rStyle w:val="17"/>
                <w:rFonts w:eastAsia="??" w:cs="??"/>
                <w:szCs w:val="18"/>
              </w:rPr>
            </w:pPr>
            <w:r>
              <w:drawing>
                <wp:inline distT="0" distB="0" distL="114300" distR="114300">
                  <wp:extent cx="1143000" cy="714375"/>
                  <wp:effectExtent l="0" t="0" r="0" b="952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0"/>
                          <a:stretch>
                            <a:fillRect/>
                          </a:stretch>
                        </pic:blipFill>
                        <pic:spPr>
                          <a:xfrm>
                            <a:off x="0" y="0"/>
                            <a:ext cx="1143000" cy="714375"/>
                          </a:xfrm>
                          <a:prstGeom prst="rect">
                            <a:avLst/>
                          </a:prstGeom>
                          <a:noFill/>
                          <a:ln w="9525">
                            <a:noFill/>
                          </a:ln>
                        </pic:spPr>
                      </pic:pic>
                    </a:graphicData>
                  </a:graphic>
                </wp:inline>
              </w:drawing>
            </w:r>
          </w:p>
          <w:p>
            <w:pPr>
              <w:rPr>
                <w:rStyle w:val="17"/>
                <w:rFonts w:eastAsia="??" w:cs="??"/>
                <w:szCs w:val="18"/>
              </w:rPr>
            </w:pPr>
          </w:p>
          <w:p>
            <w:pPr>
              <w:pStyle w:val="2"/>
              <w:rPr>
                <w:rStyle w:val="17"/>
                <w:rFonts w:eastAsia="??" w:cs="??"/>
                <w:szCs w:val="18"/>
              </w:rPr>
            </w:pPr>
          </w:p>
          <w:p>
            <w:pPr>
              <w:rPr>
                <w:rStyle w:val="17"/>
                <w:rFonts w:eastAsia="??" w:cs="??"/>
                <w:szCs w:val="18"/>
              </w:rPr>
            </w:pPr>
          </w:p>
          <w:p>
            <w:pPr>
              <w:pStyle w:val="2"/>
            </w:pPr>
          </w:p>
        </w:tc>
      </w:tr>
    </w:tbl>
    <w:p>
      <w:pPr>
        <w:spacing w:line="360" w:lineRule="auto"/>
        <w:ind w:firstLine="482" w:firstLineChars="200"/>
        <w:rPr>
          <w:rFonts w:ascii="??" w:hAnsi="??" w:cs="??"/>
          <w:b/>
          <w:bCs/>
          <w:sz w:val="24"/>
        </w:rPr>
      </w:pPr>
      <w:bookmarkStart w:id="6" w:name="_Toc414614596"/>
      <w:bookmarkStart w:id="7" w:name="_Toc269717613"/>
      <w:bookmarkStart w:id="8" w:name="_Toc414266430"/>
      <w:bookmarkStart w:id="9" w:name="_Toc427148986"/>
      <w:bookmarkStart w:id="10" w:name="_Toc421277692"/>
      <w:bookmarkStart w:id="11" w:name="_Toc414266276"/>
      <w:bookmarkStart w:id="12" w:name="_Toc13620"/>
      <w:r>
        <w:rPr>
          <w:rFonts w:hint="eastAsia" w:ascii="宋体" w:hAnsi="宋体" w:eastAsia="宋体" w:cs="宋体"/>
          <w:b/>
          <w:bCs/>
          <w:sz w:val="24"/>
        </w:rPr>
        <w:t>四、申请人参加本次比选活动，应当具备下列条件：</w:t>
      </w:r>
    </w:p>
    <w:p>
      <w:pPr>
        <w:spacing w:line="360" w:lineRule="auto"/>
        <w:ind w:firstLine="480" w:firstLineChars="200"/>
        <w:rPr>
          <w:rFonts w:ascii="??" w:hAnsi="??" w:cs="??"/>
          <w:sz w:val="24"/>
        </w:rPr>
      </w:pPr>
      <w:r>
        <w:rPr>
          <w:rFonts w:ascii="??" w:hAnsi="??" w:cs="??"/>
          <w:sz w:val="24"/>
        </w:rPr>
        <w:t>1.</w:t>
      </w:r>
      <w:r>
        <w:rPr>
          <w:rFonts w:hint="eastAsia" w:ascii="宋体" w:hAnsi="宋体" w:eastAsia="宋体" w:cs="宋体"/>
          <w:sz w:val="24"/>
        </w:rPr>
        <w:t>具有独立承担民事责任的能力；</w:t>
      </w:r>
    </w:p>
    <w:p>
      <w:pPr>
        <w:spacing w:line="360" w:lineRule="auto"/>
        <w:ind w:firstLine="480" w:firstLineChars="200"/>
        <w:rPr>
          <w:rFonts w:ascii="??" w:hAnsi="??" w:cs="??"/>
          <w:sz w:val="24"/>
        </w:rPr>
      </w:pPr>
      <w:r>
        <w:rPr>
          <w:rFonts w:ascii="??" w:hAnsi="??" w:cs="??"/>
          <w:sz w:val="24"/>
        </w:rPr>
        <w:t>2.</w:t>
      </w:r>
      <w:r>
        <w:rPr>
          <w:rFonts w:hint="eastAsia" w:ascii="宋体" w:hAnsi="宋体" w:eastAsia="宋体" w:cs="宋体"/>
          <w:sz w:val="24"/>
        </w:rPr>
        <w:t>具有良好的商业信誉和健全的财务会计制度；</w:t>
      </w:r>
    </w:p>
    <w:p>
      <w:pPr>
        <w:spacing w:line="360" w:lineRule="auto"/>
        <w:ind w:firstLine="480" w:firstLineChars="200"/>
        <w:rPr>
          <w:rFonts w:ascii="??" w:hAnsi="??" w:cs="??"/>
          <w:sz w:val="24"/>
        </w:rPr>
      </w:pPr>
      <w:r>
        <w:rPr>
          <w:rFonts w:ascii="??" w:hAnsi="??" w:cs="??"/>
          <w:sz w:val="24"/>
        </w:rPr>
        <w:t>3.</w:t>
      </w:r>
      <w:r>
        <w:rPr>
          <w:rFonts w:hint="eastAsia" w:ascii="宋体" w:hAnsi="宋体" w:eastAsia="宋体" w:cs="宋体"/>
          <w:sz w:val="24"/>
        </w:rPr>
        <w:t>具有履行合同所必需的设备和专业技术能力；</w:t>
      </w:r>
    </w:p>
    <w:p>
      <w:pPr>
        <w:spacing w:line="360" w:lineRule="auto"/>
        <w:ind w:firstLine="480" w:firstLineChars="200"/>
        <w:rPr>
          <w:rFonts w:ascii="??" w:hAnsi="??" w:cs="??"/>
          <w:sz w:val="24"/>
        </w:rPr>
      </w:pPr>
      <w:r>
        <w:rPr>
          <w:rFonts w:ascii="??" w:hAnsi="??" w:cs="??"/>
          <w:sz w:val="24"/>
        </w:rPr>
        <w:t>4.</w:t>
      </w:r>
      <w:r>
        <w:rPr>
          <w:rFonts w:hint="eastAsia" w:ascii="宋体" w:hAnsi="宋体" w:eastAsia="宋体" w:cs="宋体"/>
          <w:sz w:val="24"/>
        </w:rPr>
        <w:t>具有依法缴纳税收和社会保障资金的良好记录；</w:t>
      </w:r>
    </w:p>
    <w:p>
      <w:pPr>
        <w:spacing w:line="360" w:lineRule="auto"/>
        <w:ind w:firstLine="480" w:firstLineChars="200"/>
        <w:rPr>
          <w:rFonts w:ascii="??" w:hAnsi="??" w:cs="??"/>
          <w:sz w:val="24"/>
        </w:rPr>
      </w:pPr>
      <w:r>
        <w:rPr>
          <w:rFonts w:ascii="??" w:hAnsi="??" w:cs="??"/>
          <w:sz w:val="24"/>
        </w:rPr>
        <w:t>5.</w:t>
      </w:r>
      <w:r>
        <w:rPr>
          <w:rFonts w:hint="eastAsia" w:ascii="宋体" w:hAnsi="宋体" w:eastAsia="宋体" w:cs="宋体"/>
          <w:sz w:val="24"/>
        </w:rPr>
        <w:t>参加本次比选活动前三年内，在经营活动中没有重大违法记录；未处于财产被接管、冻结、破产状态，未处于有关行政处罚期间，未处于投标禁入期内。</w:t>
      </w:r>
    </w:p>
    <w:p>
      <w:pPr>
        <w:spacing w:line="360" w:lineRule="auto"/>
        <w:ind w:firstLine="480" w:firstLineChars="200"/>
        <w:rPr>
          <w:rFonts w:ascii="??" w:hAnsi="??" w:cs="??"/>
          <w:sz w:val="24"/>
        </w:rPr>
      </w:pPr>
      <w:r>
        <w:rPr>
          <w:rFonts w:ascii="??" w:hAnsi="??" w:cs="??"/>
          <w:sz w:val="24"/>
        </w:rPr>
        <w:t>6.</w:t>
      </w:r>
      <w:r>
        <w:rPr>
          <w:rFonts w:hint="eastAsia" w:ascii="宋体" w:hAnsi="宋体" w:eastAsia="宋体" w:cs="宋体"/>
          <w:sz w:val="24"/>
        </w:rPr>
        <w:t>法律、行政法规规定的其他条件：</w:t>
      </w:r>
    </w:p>
    <w:p>
      <w:pPr>
        <w:spacing w:line="360" w:lineRule="auto"/>
        <w:ind w:firstLine="480" w:firstLineChars="200"/>
        <w:rPr>
          <w:rFonts w:ascii="??" w:hAnsi="??" w:cs="??"/>
          <w:sz w:val="24"/>
        </w:rPr>
      </w:pPr>
      <w:r>
        <w:rPr>
          <w:rFonts w:ascii="??" w:hAnsi="??" w:cs="??"/>
          <w:sz w:val="24"/>
        </w:rPr>
        <w:t>6.1</w:t>
      </w:r>
      <w:r>
        <w:rPr>
          <w:rFonts w:hint="eastAsia" w:ascii="宋体" w:hAnsi="宋体" w:eastAsia="宋体" w:cs="宋体"/>
          <w:sz w:val="24"/>
        </w:rPr>
        <w:t>单位负责人为同一人或者存在直接控股、管理关系的不同比选申请人，不得参加同一合同项下的比选活动。</w:t>
      </w:r>
    </w:p>
    <w:p>
      <w:pPr>
        <w:spacing w:line="360" w:lineRule="auto"/>
        <w:ind w:firstLine="480" w:firstLineChars="200"/>
        <w:rPr>
          <w:rFonts w:ascii="??" w:hAnsi="??" w:cs="??"/>
          <w:sz w:val="24"/>
        </w:rPr>
      </w:pPr>
      <w:r>
        <w:rPr>
          <w:rFonts w:ascii="??" w:hAnsi="??" w:cs="??"/>
          <w:sz w:val="24"/>
        </w:rPr>
        <w:t>6.2</w:t>
      </w:r>
      <w:r>
        <w:rPr>
          <w:rFonts w:hint="eastAsia" w:ascii="宋体" w:hAnsi="宋体" w:eastAsia="宋体" w:cs="宋体"/>
          <w:sz w:val="24"/>
        </w:rPr>
        <w:t>供应商单位及其法定代表人、主要负责人不得具有行贿犯罪记录。</w:t>
      </w:r>
    </w:p>
    <w:p>
      <w:pPr>
        <w:spacing w:line="360" w:lineRule="auto"/>
        <w:ind w:firstLine="480" w:firstLineChars="200"/>
        <w:rPr>
          <w:rFonts w:ascii="??" w:hAnsi="??" w:cs="??"/>
          <w:sz w:val="24"/>
        </w:rPr>
      </w:pPr>
      <w:r>
        <w:rPr>
          <w:rFonts w:ascii="??" w:hAnsi="??" w:cs="??"/>
          <w:sz w:val="24"/>
        </w:rPr>
        <w:t>6.3</w:t>
      </w:r>
      <w:r>
        <w:rPr>
          <w:rFonts w:hint="eastAsia" w:ascii="宋体" w:hAnsi="宋体" w:eastAsia="宋体" w:cs="宋体"/>
          <w:sz w:val="24"/>
        </w:rPr>
        <w:t>拒绝列入失信被执行人、重大税收违法案件当事人名单、政府采购严重违法失信行为记录名单的比选申请人参加本次比选活动；</w:t>
      </w:r>
    </w:p>
    <w:p>
      <w:pPr>
        <w:spacing w:line="360" w:lineRule="auto"/>
        <w:ind w:firstLine="480" w:firstLineChars="200"/>
        <w:rPr>
          <w:rFonts w:ascii="??" w:hAnsi="??" w:cs="??"/>
          <w:sz w:val="24"/>
        </w:rPr>
      </w:pPr>
      <w:r>
        <w:rPr>
          <w:rFonts w:ascii="??" w:hAnsi="??" w:cs="??"/>
          <w:sz w:val="24"/>
        </w:rPr>
        <w:t>7.</w:t>
      </w:r>
      <w:r>
        <w:rPr>
          <w:rFonts w:hint="eastAsia" w:ascii="宋体" w:hAnsi="宋体" w:eastAsia="宋体" w:cs="宋体"/>
          <w:sz w:val="24"/>
        </w:rPr>
        <w:t>本项目不接受联合体参加比选。</w:t>
      </w:r>
    </w:p>
    <w:p>
      <w:pPr>
        <w:spacing w:line="520" w:lineRule="exact"/>
        <w:ind w:firstLine="482" w:firstLineChars="200"/>
        <w:rPr>
          <w:b/>
          <w:kern w:val="44"/>
          <w:sz w:val="24"/>
        </w:rPr>
      </w:pPr>
      <w:r>
        <w:rPr>
          <w:rFonts w:hint="eastAsia" w:ascii="宋体" w:hAnsi="宋体" w:eastAsia="宋体" w:cs="宋体"/>
          <w:b/>
          <w:kern w:val="44"/>
          <w:sz w:val="24"/>
        </w:rPr>
        <w:t>★五、商务要求</w:t>
      </w:r>
      <w:bookmarkEnd w:id="6"/>
      <w:bookmarkEnd w:id="7"/>
      <w:bookmarkEnd w:id="8"/>
      <w:bookmarkEnd w:id="9"/>
      <w:bookmarkEnd w:id="10"/>
      <w:bookmarkEnd w:id="11"/>
      <w:bookmarkEnd w:id="12"/>
    </w:p>
    <w:p>
      <w:pPr>
        <w:spacing w:line="360" w:lineRule="auto"/>
        <w:ind w:firstLine="480" w:firstLineChars="200"/>
        <w:contextualSpacing/>
        <w:rPr>
          <w:rFonts w:ascii="??" w:hAnsi="??"/>
          <w:sz w:val="24"/>
        </w:rPr>
      </w:pPr>
      <w:r>
        <w:rPr>
          <w:rFonts w:ascii="??" w:hAnsi="??"/>
          <w:sz w:val="24"/>
        </w:rPr>
        <w:t>1.</w:t>
      </w:r>
      <w:r>
        <w:rPr>
          <w:rFonts w:hint="eastAsia" w:ascii="宋体" w:hAnsi="宋体" w:eastAsia="宋体" w:cs="宋体"/>
          <w:sz w:val="24"/>
        </w:rPr>
        <w:t>交货时间：</w:t>
      </w:r>
      <w:r>
        <w:rPr>
          <w:rFonts w:hint="eastAsia" w:ascii="宋体" w:hAnsi="宋体" w:eastAsia="宋体" w:cs="宋体"/>
          <w:bCs/>
          <w:sz w:val="24"/>
          <w:szCs w:val="22"/>
        </w:rPr>
        <w:t>自合同签订之日起</w:t>
      </w:r>
      <w:r>
        <w:rPr>
          <w:rFonts w:ascii="??" w:hAnsi="??" w:cs="??"/>
          <w:bCs/>
          <w:sz w:val="24"/>
          <w:szCs w:val="22"/>
        </w:rPr>
        <w:t>20</w:t>
      </w:r>
      <w:r>
        <w:rPr>
          <w:rFonts w:hint="eastAsia" w:ascii="宋体" w:hAnsi="宋体" w:eastAsia="宋体" w:cs="宋体"/>
          <w:bCs/>
          <w:sz w:val="24"/>
          <w:szCs w:val="22"/>
        </w:rPr>
        <w:t>个工作日内完成项目的供货、安装、调试等相关工作</w:t>
      </w:r>
      <w:r>
        <w:rPr>
          <w:rFonts w:hint="eastAsia" w:ascii="宋体" w:hAnsi="宋体" w:eastAsia="宋体" w:cs="宋体"/>
          <w:sz w:val="24"/>
        </w:rPr>
        <w:t>。</w:t>
      </w:r>
    </w:p>
    <w:p>
      <w:pPr>
        <w:spacing w:line="360" w:lineRule="auto"/>
        <w:ind w:firstLine="480" w:firstLineChars="200"/>
        <w:contextualSpacing/>
        <w:rPr>
          <w:rFonts w:ascii="??" w:hAnsi="??" w:cs="??"/>
          <w:bCs/>
          <w:sz w:val="24"/>
          <w:szCs w:val="22"/>
        </w:rPr>
      </w:pPr>
      <w:r>
        <w:rPr>
          <w:rFonts w:ascii="??" w:hAnsi="??"/>
          <w:sz w:val="24"/>
        </w:rPr>
        <w:t>2.</w:t>
      </w:r>
      <w:r>
        <w:rPr>
          <w:rFonts w:hint="eastAsia" w:ascii="宋体" w:hAnsi="宋体" w:eastAsia="宋体" w:cs="宋体"/>
          <w:bCs/>
          <w:sz w:val="24"/>
          <w:szCs w:val="22"/>
        </w:rPr>
        <w:t>交货及安装地点：大邑县人民医院。</w:t>
      </w:r>
    </w:p>
    <w:p>
      <w:pPr>
        <w:spacing w:line="360" w:lineRule="auto"/>
        <w:ind w:firstLine="480" w:firstLineChars="200"/>
        <w:rPr>
          <w:rFonts w:ascii="??" w:hAnsi="??" w:cs="??"/>
          <w:bCs/>
          <w:sz w:val="24"/>
          <w:szCs w:val="22"/>
        </w:rPr>
      </w:pPr>
      <w:r>
        <w:rPr>
          <w:rFonts w:ascii="??" w:hAnsi="??" w:cs="??"/>
          <w:bCs/>
          <w:sz w:val="24"/>
          <w:szCs w:val="22"/>
        </w:rPr>
        <w:t>3.</w:t>
      </w:r>
      <w:r>
        <w:rPr>
          <w:rFonts w:hint="eastAsia" w:ascii="宋体" w:hAnsi="宋体" w:eastAsia="宋体" w:cs="宋体"/>
          <w:bCs/>
          <w:sz w:val="24"/>
          <w:szCs w:val="22"/>
        </w:rPr>
        <w:t>付款方法和条件：全部货物安装调试完毕，采购人验收合格且成交供应商向采购人出具合法有效完整的完税发票及凭证资料后，采购人收到发票后在</w:t>
      </w:r>
      <w:r>
        <w:rPr>
          <w:rFonts w:ascii="??" w:hAnsi="??" w:cs="??"/>
          <w:bCs/>
          <w:sz w:val="24"/>
          <w:szCs w:val="22"/>
        </w:rPr>
        <w:t>30</w:t>
      </w:r>
      <w:r>
        <w:rPr>
          <w:rFonts w:hint="eastAsia" w:ascii="宋体" w:hAnsi="宋体" w:eastAsia="宋体" w:cs="宋体"/>
          <w:bCs/>
          <w:sz w:val="24"/>
          <w:szCs w:val="22"/>
        </w:rPr>
        <w:t>个工作日内向成交供应商支付合同总金额的</w:t>
      </w:r>
      <w:r>
        <w:rPr>
          <w:rFonts w:ascii="??" w:hAnsi="??" w:cs="??"/>
          <w:bCs/>
          <w:sz w:val="24"/>
          <w:szCs w:val="22"/>
        </w:rPr>
        <w:t>100%</w:t>
      </w:r>
      <w:r>
        <w:rPr>
          <w:rFonts w:hint="eastAsia" w:ascii="宋体" w:hAnsi="宋体" w:eastAsia="宋体" w:cs="宋体"/>
          <w:bCs/>
          <w:sz w:val="24"/>
          <w:szCs w:val="22"/>
        </w:rPr>
        <w:t>。</w:t>
      </w:r>
    </w:p>
    <w:p>
      <w:pPr>
        <w:spacing w:line="360" w:lineRule="auto"/>
        <w:ind w:firstLine="480" w:firstLineChars="200"/>
        <w:rPr>
          <w:rFonts w:ascii="??" w:hAnsi="??"/>
          <w:sz w:val="24"/>
        </w:rPr>
      </w:pPr>
      <w:r>
        <w:rPr>
          <w:rFonts w:ascii="??" w:hAnsi="??" w:cs="??"/>
          <w:bCs/>
          <w:sz w:val="24"/>
          <w:szCs w:val="22"/>
        </w:rPr>
        <w:t>4.</w:t>
      </w:r>
      <w:r>
        <w:rPr>
          <w:rFonts w:hint="eastAsia" w:ascii="宋体" w:hAnsi="宋体" w:eastAsia="宋体" w:cs="宋体"/>
          <w:bCs/>
          <w:sz w:val="24"/>
          <w:szCs w:val="22"/>
        </w:rPr>
        <w:t>安装调试</w:t>
      </w:r>
      <w:r>
        <w:rPr>
          <w:rFonts w:hint="eastAsia" w:ascii="宋体" w:hAnsi="宋体" w:eastAsia="宋体" w:cs="宋体"/>
          <w:sz w:val="24"/>
        </w:rPr>
        <w:t>及运输</w:t>
      </w:r>
      <w:r>
        <w:rPr>
          <w:rFonts w:hint="eastAsia" w:ascii="宋体" w:hAnsi="宋体" w:eastAsia="宋体" w:cs="宋体"/>
          <w:bCs/>
          <w:sz w:val="24"/>
          <w:szCs w:val="22"/>
        </w:rPr>
        <w:t>：成交供应商负责家具的运输、安装、调试。货物到达现场后，成交供应商组织安装、调试，所需的费用包括在总价格中。运输及安装过程中发生任何人员伤亡或财产损失，均由成交供应商负责解决并自行承担全部责任，与采购人无关。</w:t>
      </w:r>
    </w:p>
    <w:p>
      <w:pPr>
        <w:spacing w:line="360" w:lineRule="auto"/>
        <w:ind w:firstLine="480" w:firstLineChars="200"/>
        <w:rPr>
          <w:rFonts w:ascii="??" w:hAnsi="??"/>
          <w:sz w:val="24"/>
        </w:rPr>
      </w:pPr>
      <w:r>
        <w:rPr>
          <w:rFonts w:ascii="??" w:hAnsi="??"/>
          <w:sz w:val="24"/>
        </w:rPr>
        <w:t>5.</w:t>
      </w:r>
      <w:r>
        <w:rPr>
          <w:rFonts w:hint="eastAsia" w:ascii="宋体" w:hAnsi="宋体" w:eastAsia="宋体" w:cs="宋体"/>
          <w:sz w:val="24"/>
        </w:rPr>
        <w:t>质保期：自产品验收合格起两年，质保期内若非人为原因造成的产品损坏，均由成交供应商进行质保；验收合格后一年内出现产品及安装引起的质量问题需更换整体产品（不含因使用不当或人为损坏），比选人不再单独支付任何费用。</w:t>
      </w:r>
      <w:r>
        <w:rPr>
          <w:rFonts w:hint="eastAsia" w:ascii="宋体" w:hAnsi="宋体" w:eastAsia="宋体" w:cs="宋体"/>
          <w:b/>
          <w:bCs/>
          <w:sz w:val="24"/>
        </w:rPr>
        <w:t>（提供承诺函）</w:t>
      </w:r>
    </w:p>
    <w:p>
      <w:pPr>
        <w:spacing w:line="360" w:lineRule="auto"/>
        <w:ind w:firstLine="480" w:firstLineChars="200"/>
        <w:rPr>
          <w:rFonts w:ascii="??" w:hAnsi="??" w:cs="??"/>
          <w:sz w:val="24"/>
        </w:rPr>
      </w:pPr>
      <w:r>
        <w:rPr>
          <w:rFonts w:ascii="??" w:hAnsi="??" w:cs="??"/>
          <w:sz w:val="24"/>
        </w:rPr>
        <w:t>6.</w:t>
      </w:r>
      <w:r>
        <w:rPr>
          <w:rFonts w:hint="eastAsia" w:ascii="宋体" w:hAnsi="宋体" w:eastAsia="宋体" w:cs="宋体"/>
          <w:sz w:val="24"/>
        </w:rPr>
        <w:t>成交供应商应保证提供的货物是全新、未使用过的原装合格正品，并完全符合生产厂家或国家规定的质量、规格和性能的要求。</w:t>
      </w:r>
    </w:p>
    <w:p>
      <w:pPr>
        <w:spacing w:line="360" w:lineRule="auto"/>
        <w:ind w:firstLine="482" w:firstLineChars="200"/>
        <w:rPr>
          <w:b/>
          <w:kern w:val="44"/>
          <w:sz w:val="24"/>
        </w:rPr>
      </w:pPr>
      <w:r>
        <w:rPr>
          <w:rFonts w:hint="eastAsia" w:ascii="宋体" w:hAnsi="宋体" w:eastAsia="宋体" w:cs="宋体"/>
          <w:b/>
          <w:kern w:val="44"/>
          <w:sz w:val="24"/>
        </w:rPr>
        <w:t>六、其他要求</w:t>
      </w:r>
    </w:p>
    <w:p>
      <w:pPr>
        <w:spacing w:line="360" w:lineRule="auto"/>
        <w:ind w:firstLine="480" w:firstLineChars="200"/>
        <w:rPr>
          <w:rFonts w:hint="eastAsia" w:ascii="宋体" w:hAnsi="宋体" w:eastAsia="宋体" w:cs="宋体"/>
          <w:bCs/>
          <w:sz w:val="24"/>
          <w:szCs w:val="22"/>
        </w:rPr>
      </w:pPr>
      <w:bookmarkStart w:id="13" w:name="_Toc133163063"/>
      <w:bookmarkStart w:id="14" w:name="_Toc139126098"/>
      <w:bookmarkStart w:id="15" w:name="_Toc139126583"/>
      <w:bookmarkStart w:id="16" w:name="_Toc176580050"/>
      <w:bookmarkStart w:id="17" w:name="_Toc132535002"/>
      <w:bookmarkStart w:id="18" w:name="_Toc139103006"/>
      <w:bookmarkStart w:id="19" w:name="_Toc133132628"/>
      <w:r>
        <w:rPr>
          <w:rFonts w:ascii="??" w:hAnsi="??" w:cs="??"/>
          <w:bCs/>
          <w:sz w:val="24"/>
          <w:szCs w:val="22"/>
        </w:rPr>
        <w:t>1.</w:t>
      </w:r>
      <w:r>
        <w:rPr>
          <w:rFonts w:hint="eastAsia" w:ascii="宋体" w:hAnsi="宋体" w:eastAsia="宋体" w:cs="宋体"/>
          <w:bCs/>
          <w:sz w:val="24"/>
          <w:szCs w:val="22"/>
        </w:rPr>
        <w:t>本项目评标过程中需要提供样品，供应商提供</w:t>
      </w:r>
      <w:r>
        <w:rPr>
          <w:rFonts w:hint="eastAsia" w:ascii="宋体" w:hAnsi="宋体" w:eastAsia="宋体" w:cs="宋体"/>
          <w:bCs/>
          <w:sz w:val="24"/>
          <w:szCs w:val="22"/>
          <w:lang w:val="en-US" w:eastAsia="zh-CN"/>
        </w:rPr>
        <w:t>日间输液椅、多功能超声医生专用椅</w:t>
      </w:r>
      <w:r>
        <w:rPr>
          <w:rFonts w:hint="eastAsia" w:ascii="宋体" w:hAnsi="宋体" w:eastAsia="宋体" w:cs="宋体"/>
          <w:bCs/>
          <w:sz w:val="24"/>
          <w:szCs w:val="22"/>
        </w:rPr>
        <w:t>样品</w:t>
      </w:r>
      <w:r>
        <w:rPr>
          <w:rFonts w:hint="eastAsia" w:ascii="宋体" w:hAnsi="宋体" w:eastAsia="宋体" w:cs="宋体"/>
          <w:bCs/>
          <w:sz w:val="24"/>
          <w:szCs w:val="22"/>
          <w:lang w:val="en-US" w:eastAsia="zh-CN"/>
        </w:rPr>
        <w:t>各</w:t>
      </w:r>
      <w:r>
        <w:rPr>
          <w:rFonts w:hint="eastAsia" w:ascii="宋体" w:hAnsi="宋体" w:eastAsia="宋体" w:cs="宋体"/>
          <w:bCs/>
          <w:sz w:val="24"/>
          <w:szCs w:val="22"/>
        </w:rPr>
        <w:t>一套，供应商提供的样品将作为中标后履约验收的参考。</w:t>
      </w:r>
    </w:p>
    <w:p>
      <w:pPr>
        <w:spacing w:line="360" w:lineRule="auto"/>
        <w:ind w:firstLine="480" w:firstLineChars="200"/>
        <w:rPr>
          <w:rFonts w:ascii="??" w:hAnsi="??" w:cs="??"/>
          <w:bCs/>
          <w:sz w:val="24"/>
          <w:szCs w:val="22"/>
        </w:rPr>
      </w:pPr>
      <w:r>
        <w:rPr>
          <w:rFonts w:ascii="??" w:hAnsi="??" w:cs="??"/>
          <w:bCs/>
          <w:sz w:val="24"/>
          <w:szCs w:val="22"/>
        </w:rPr>
        <w:t>2.</w:t>
      </w:r>
      <w:r>
        <w:rPr>
          <w:rFonts w:hint="eastAsia" w:ascii="宋体" w:hAnsi="宋体" w:eastAsia="宋体" w:cs="宋体"/>
          <w:bCs/>
          <w:sz w:val="24"/>
          <w:szCs w:val="22"/>
        </w:rPr>
        <w:t>供应商对提供样品的性能和质量负责，因样品存在缺陷或者不符合招标文件要求导致未能中标的，我方愿意承担相应不利后果。</w:t>
      </w:r>
      <w:r>
        <w:rPr>
          <w:rFonts w:hint="eastAsia" w:ascii="宋体" w:hAnsi="宋体" w:eastAsia="宋体" w:cs="宋体"/>
          <w:b/>
          <w:sz w:val="24"/>
          <w:szCs w:val="22"/>
        </w:rPr>
        <w:t>（提供承诺函）</w:t>
      </w:r>
    </w:p>
    <w:p>
      <w:pPr>
        <w:spacing w:line="360" w:lineRule="auto"/>
        <w:ind w:firstLine="480" w:firstLineChars="200"/>
        <w:rPr>
          <w:rFonts w:ascii="??" w:hAnsi="??" w:cs="??"/>
          <w:bCs/>
          <w:sz w:val="24"/>
          <w:szCs w:val="22"/>
        </w:rPr>
      </w:pPr>
      <w:r>
        <w:rPr>
          <w:rFonts w:hint="eastAsia" w:ascii="宋体" w:hAnsi="宋体" w:eastAsia="宋体" w:cs="宋体"/>
          <w:bCs/>
          <w:sz w:val="24"/>
          <w:szCs w:val="22"/>
        </w:rPr>
        <w:t>注：中标供应商样品均不退，待供货结束退还，未中标供应商当日招标结束后退还样品。</w:t>
      </w:r>
    </w:p>
    <w:p>
      <w:pPr>
        <w:spacing w:line="360" w:lineRule="auto"/>
        <w:contextualSpacing/>
        <w:rPr>
          <w:rFonts w:ascii="??" w:hAnsi="??"/>
          <w:b/>
          <w:sz w:val="24"/>
        </w:rPr>
      </w:pPr>
      <w:r>
        <w:rPr>
          <w:rFonts w:hint="eastAsia" w:ascii="宋体" w:hAnsi="宋体" w:eastAsia="宋体" w:cs="宋体"/>
          <w:b/>
          <w:sz w:val="24"/>
        </w:rPr>
        <w:t>七、评</w:t>
      </w:r>
      <w:bookmarkEnd w:id="13"/>
      <w:bookmarkEnd w:id="14"/>
      <w:bookmarkEnd w:id="15"/>
      <w:bookmarkEnd w:id="16"/>
      <w:bookmarkEnd w:id="17"/>
      <w:bookmarkEnd w:id="18"/>
      <w:bookmarkEnd w:id="19"/>
      <w:r>
        <w:rPr>
          <w:rFonts w:hint="eastAsia" w:ascii="宋体" w:hAnsi="宋体" w:eastAsia="宋体" w:cs="宋体"/>
          <w:b/>
          <w:sz w:val="24"/>
        </w:rPr>
        <w:t>分标准</w:t>
      </w:r>
    </w:p>
    <w:tbl>
      <w:tblPr>
        <w:tblStyle w:val="9"/>
        <w:tblW w:w="9640" w:type="dxa"/>
        <w:jc w:val="center"/>
        <w:tblInd w:w="0" w:type="dxa"/>
        <w:tblLayout w:type="fixed"/>
        <w:tblCellMar>
          <w:top w:w="57" w:type="dxa"/>
          <w:left w:w="108" w:type="dxa"/>
          <w:bottom w:w="57" w:type="dxa"/>
          <w:right w:w="108" w:type="dxa"/>
        </w:tblCellMar>
      </w:tblPr>
      <w:tblGrid>
        <w:gridCol w:w="1043"/>
        <w:gridCol w:w="1575"/>
        <w:gridCol w:w="915"/>
        <w:gridCol w:w="6107"/>
      </w:tblGrid>
      <w:tr>
        <w:tblPrEx>
          <w:tblLayout w:type="fixed"/>
          <w:tblCellMar>
            <w:top w:w="57" w:type="dxa"/>
            <w:left w:w="108" w:type="dxa"/>
            <w:bottom w:w="57" w:type="dxa"/>
            <w:right w:w="108" w:type="dxa"/>
          </w:tblCellMar>
        </w:tblPrEx>
        <w:trPr>
          <w:trHeight w:val="541"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 w:hAnsi="??" w:cs="??"/>
                <w:b/>
                <w:bCs/>
                <w:kern w:val="0"/>
                <w:szCs w:val="21"/>
              </w:rPr>
            </w:pPr>
            <w:r>
              <w:rPr>
                <w:rFonts w:hint="eastAsia" w:ascii="宋体" w:hAnsi="宋体" w:eastAsia="宋体" w:cs="宋体"/>
                <w:b/>
                <w:bCs/>
                <w:kern w:val="0"/>
                <w:szCs w:val="21"/>
              </w:rPr>
              <w:t>序号</w:t>
            </w:r>
          </w:p>
        </w:tc>
        <w:tc>
          <w:tcPr>
            <w:tcW w:w="1575" w:type="dxa"/>
            <w:tcBorders>
              <w:top w:val="single" w:color="auto" w:sz="4" w:space="0"/>
              <w:left w:val="nil"/>
              <w:bottom w:val="single" w:color="auto" w:sz="4" w:space="0"/>
              <w:right w:val="single" w:color="auto" w:sz="4" w:space="0"/>
            </w:tcBorders>
            <w:vAlign w:val="center"/>
          </w:tcPr>
          <w:p>
            <w:pPr>
              <w:widowControl/>
              <w:snapToGrid w:val="0"/>
              <w:jc w:val="center"/>
              <w:rPr>
                <w:rFonts w:ascii="??" w:hAnsi="??" w:cs="??"/>
                <w:b/>
                <w:bCs/>
                <w:kern w:val="0"/>
                <w:szCs w:val="21"/>
              </w:rPr>
            </w:pPr>
            <w:r>
              <w:rPr>
                <w:rFonts w:hint="eastAsia" w:ascii="宋体" w:hAnsi="宋体" w:eastAsia="宋体" w:cs="宋体"/>
                <w:b/>
                <w:bCs/>
                <w:kern w:val="0"/>
                <w:szCs w:val="21"/>
              </w:rPr>
              <w:t>评分项目</w:t>
            </w:r>
          </w:p>
        </w:tc>
        <w:tc>
          <w:tcPr>
            <w:tcW w:w="915" w:type="dxa"/>
            <w:tcBorders>
              <w:top w:val="single" w:color="auto" w:sz="4" w:space="0"/>
              <w:left w:val="nil"/>
              <w:bottom w:val="single" w:color="auto" w:sz="4" w:space="0"/>
              <w:right w:val="single" w:color="auto" w:sz="4" w:space="0"/>
            </w:tcBorders>
            <w:vAlign w:val="center"/>
          </w:tcPr>
          <w:p>
            <w:pPr>
              <w:widowControl/>
              <w:snapToGrid w:val="0"/>
              <w:jc w:val="center"/>
              <w:rPr>
                <w:rFonts w:ascii="??" w:hAnsi="??" w:cs="??"/>
                <w:b/>
                <w:bCs/>
                <w:kern w:val="0"/>
                <w:szCs w:val="21"/>
              </w:rPr>
            </w:pPr>
            <w:r>
              <w:rPr>
                <w:rFonts w:hint="eastAsia" w:ascii="宋体" w:hAnsi="宋体" w:eastAsia="宋体" w:cs="宋体"/>
                <w:b/>
                <w:bCs/>
                <w:kern w:val="0"/>
                <w:szCs w:val="21"/>
              </w:rPr>
              <w:t>分值</w:t>
            </w:r>
          </w:p>
        </w:tc>
        <w:tc>
          <w:tcPr>
            <w:tcW w:w="6107" w:type="dxa"/>
            <w:tcBorders>
              <w:top w:val="single" w:color="auto" w:sz="4" w:space="0"/>
              <w:left w:val="nil"/>
              <w:bottom w:val="single" w:color="auto" w:sz="4" w:space="0"/>
              <w:right w:val="single" w:color="auto" w:sz="4" w:space="0"/>
            </w:tcBorders>
            <w:vAlign w:val="center"/>
          </w:tcPr>
          <w:p>
            <w:pPr>
              <w:widowControl/>
              <w:snapToGrid w:val="0"/>
              <w:jc w:val="center"/>
              <w:rPr>
                <w:rFonts w:ascii="??" w:hAnsi="??" w:cs="??"/>
                <w:b/>
                <w:bCs/>
                <w:kern w:val="0"/>
                <w:szCs w:val="21"/>
              </w:rPr>
            </w:pPr>
            <w:r>
              <w:rPr>
                <w:rFonts w:hint="eastAsia" w:ascii="宋体" w:hAnsi="宋体" w:eastAsia="宋体" w:cs="宋体"/>
                <w:b/>
                <w:bCs/>
                <w:kern w:val="0"/>
                <w:szCs w:val="21"/>
              </w:rPr>
              <w:t>评分标准</w:t>
            </w:r>
          </w:p>
        </w:tc>
      </w:tr>
      <w:tr>
        <w:tblPrEx>
          <w:tblLayout w:type="fixed"/>
          <w:tblCellMar>
            <w:top w:w="57" w:type="dxa"/>
            <w:left w:w="108" w:type="dxa"/>
            <w:bottom w:w="57" w:type="dxa"/>
            <w:right w:w="108" w:type="dxa"/>
          </w:tblCellMar>
        </w:tblPrEx>
        <w:trPr>
          <w:trHeight w:val="683" w:hRule="atLeast"/>
          <w:jc w:val="center"/>
        </w:trPr>
        <w:tc>
          <w:tcPr>
            <w:tcW w:w="1043" w:type="dxa"/>
            <w:tcBorders>
              <w:top w:val="nil"/>
              <w:left w:val="single" w:color="auto" w:sz="4" w:space="0"/>
              <w:bottom w:val="single" w:color="auto" w:sz="4" w:space="0"/>
              <w:right w:val="single" w:color="auto" w:sz="4" w:space="0"/>
            </w:tcBorders>
            <w:vAlign w:val="center"/>
          </w:tcPr>
          <w:p>
            <w:pPr>
              <w:widowControl/>
              <w:snapToGrid w:val="0"/>
              <w:jc w:val="center"/>
              <w:rPr>
                <w:rFonts w:ascii="??" w:hAnsi="??" w:cs="??"/>
                <w:kern w:val="0"/>
                <w:szCs w:val="21"/>
              </w:rPr>
            </w:pPr>
            <w:r>
              <w:rPr>
                <w:rFonts w:ascii="??" w:hAnsi="??" w:cs="??"/>
                <w:kern w:val="0"/>
                <w:szCs w:val="21"/>
              </w:rPr>
              <w:t>1</w:t>
            </w:r>
          </w:p>
        </w:tc>
        <w:tc>
          <w:tcPr>
            <w:tcW w:w="1575" w:type="dxa"/>
            <w:tcBorders>
              <w:top w:val="nil"/>
              <w:left w:val="nil"/>
              <w:bottom w:val="single" w:color="auto" w:sz="4" w:space="0"/>
              <w:right w:val="single" w:color="auto" w:sz="4" w:space="0"/>
            </w:tcBorders>
            <w:vAlign w:val="center"/>
          </w:tcPr>
          <w:p>
            <w:pPr>
              <w:widowControl/>
              <w:snapToGrid w:val="0"/>
              <w:jc w:val="center"/>
              <w:rPr>
                <w:rFonts w:ascii="??" w:hAnsi="??" w:cs="??"/>
                <w:kern w:val="0"/>
                <w:szCs w:val="21"/>
              </w:rPr>
            </w:pPr>
          </w:p>
          <w:p>
            <w:pPr>
              <w:widowControl/>
              <w:snapToGrid w:val="0"/>
              <w:jc w:val="center"/>
              <w:rPr>
                <w:rFonts w:ascii="??" w:hAnsi="??" w:cs="??"/>
                <w:kern w:val="0"/>
                <w:szCs w:val="21"/>
              </w:rPr>
            </w:pPr>
            <w:r>
              <w:rPr>
                <w:rFonts w:hint="eastAsia" w:ascii="宋体" w:hAnsi="宋体" w:eastAsia="宋体" w:cs="宋体"/>
                <w:kern w:val="0"/>
                <w:szCs w:val="21"/>
              </w:rPr>
              <w:t>报价</w:t>
            </w:r>
          </w:p>
          <w:p>
            <w:pPr>
              <w:widowControl/>
              <w:snapToGrid w:val="0"/>
              <w:jc w:val="center"/>
              <w:rPr>
                <w:rFonts w:ascii="??" w:hAnsi="??" w:cs="??"/>
                <w:kern w:val="0"/>
                <w:szCs w:val="21"/>
              </w:rPr>
            </w:pPr>
          </w:p>
        </w:tc>
        <w:tc>
          <w:tcPr>
            <w:tcW w:w="915" w:type="dxa"/>
            <w:tcBorders>
              <w:top w:val="nil"/>
              <w:left w:val="nil"/>
              <w:bottom w:val="single" w:color="auto" w:sz="4" w:space="0"/>
              <w:right w:val="single" w:color="auto" w:sz="4" w:space="0"/>
            </w:tcBorders>
            <w:vAlign w:val="center"/>
          </w:tcPr>
          <w:p>
            <w:pPr>
              <w:widowControl/>
              <w:snapToGrid w:val="0"/>
              <w:jc w:val="center"/>
              <w:rPr>
                <w:rFonts w:ascii="??" w:hAnsi="??" w:cs="??"/>
                <w:kern w:val="0"/>
                <w:szCs w:val="21"/>
              </w:rPr>
            </w:pPr>
            <w:r>
              <w:rPr>
                <w:rFonts w:ascii="??" w:hAnsi="??" w:cs="??"/>
                <w:kern w:val="0"/>
                <w:szCs w:val="21"/>
              </w:rPr>
              <w:t>30</w:t>
            </w:r>
            <w:r>
              <w:rPr>
                <w:rFonts w:hint="eastAsia" w:ascii="宋体" w:hAnsi="宋体" w:eastAsia="宋体" w:cs="宋体"/>
                <w:kern w:val="0"/>
                <w:szCs w:val="21"/>
              </w:rPr>
              <w:t>分</w:t>
            </w:r>
          </w:p>
        </w:tc>
        <w:tc>
          <w:tcPr>
            <w:tcW w:w="61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以本次最低有效投标报价为基准价，投标报价得分=(基准价／投标报价)*30</w:t>
            </w:r>
          </w:p>
        </w:tc>
      </w:tr>
      <w:tr>
        <w:tblPrEx>
          <w:tblLayout w:type="fixed"/>
          <w:tblCellMar>
            <w:top w:w="57" w:type="dxa"/>
            <w:left w:w="108" w:type="dxa"/>
            <w:bottom w:w="57" w:type="dxa"/>
            <w:right w:w="108" w:type="dxa"/>
          </w:tblCellMar>
        </w:tblPrEx>
        <w:trPr>
          <w:trHeight w:val="2873"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 w:hAnsi="??" w:cs="??"/>
                <w:color w:val="000000"/>
                <w:kern w:val="0"/>
                <w:szCs w:val="21"/>
              </w:rPr>
            </w:pPr>
            <w:r>
              <w:rPr>
                <w:rFonts w:ascii="??" w:hAnsi="??" w:cs="??"/>
                <w:color w:val="000000"/>
                <w:kern w:val="0"/>
                <w:szCs w:val="21"/>
              </w:rPr>
              <w:t>2</w:t>
            </w:r>
          </w:p>
        </w:tc>
        <w:tc>
          <w:tcPr>
            <w:tcW w:w="1575" w:type="dxa"/>
            <w:tcBorders>
              <w:top w:val="single" w:color="auto" w:sz="4" w:space="0"/>
              <w:left w:val="nil"/>
              <w:bottom w:val="single" w:color="auto" w:sz="4" w:space="0"/>
              <w:right w:val="single" w:color="auto" w:sz="4" w:space="0"/>
            </w:tcBorders>
            <w:vAlign w:val="center"/>
          </w:tcPr>
          <w:p>
            <w:pPr>
              <w:widowControl/>
              <w:snapToGrid w:val="0"/>
              <w:jc w:val="center"/>
              <w:rPr>
                <w:rFonts w:ascii="??" w:hAnsi="??" w:cs="??"/>
                <w:color w:val="000000"/>
                <w:kern w:val="0"/>
                <w:szCs w:val="21"/>
              </w:rPr>
            </w:pPr>
            <w:r>
              <w:rPr>
                <w:rFonts w:hint="eastAsia" w:ascii="宋体" w:hAnsi="宋体" w:eastAsia="宋体" w:cs="宋体"/>
                <w:color w:val="000000"/>
                <w:kern w:val="0"/>
                <w:szCs w:val="21"/>
              </w:rPr>
              <w:t>产品技术参数及要求</w:t>
            </w:r>
          </w:p>
        </w:tc>
        <w:tc>
          <w:tcPr>
            <w:tcW w:w="915" w:type="dxa"/>
            <w:tcBorders>
              <w:top w:val="single" w:color="auto" w:sz="4" w:space="0"/>
              <w:left w:val="nil"/>
              <w:bottom w:val="single" w:color="auto" w:sz="4" w:space="0"/>
              <w:right w:val="single" w:color="auto" w:sz="4" w:space="0"/>
            </w:tcBorders>
            <w:vAlign w:val="center"/>
          </w:tcPr>
          <w:p>
            <w:pPr>
              <w:widowControl/>
              <w:snapToGrid w:val="0"/>
              <w:jc w:val="center"/>
              <w:rPr>
                <w:rFonts w:ascii="??" w:hAnsi="??" w:cs="??"/>
                <w:color w:val="000000"/>
                <w:kern w:val="0"/>
                <w:szCs w:val="21"/>
              </w:rPr>
            </w:pPr>
            <w:r>
              <w:rPr>
                <w:rFonts w:ascii="??" w:hAnsi="??" w:cs="??"/>
                <w:color w:val="000000"/>
                <w:kern w:val="0"/>
                <w:szCs w:val="21"/>
              </w:rPr>
              <w:t>30</w:t>
            </w:r>
            <w:r>
              <w:rPr>
                <w:rFonts w:hint="eastAsia" w:ascii="宋体" w:hAnsi="宋体" w:eastAsia="宋体" w:cs="宋体"/>
                <w:color w:val="000000"/>
                <w:kern w:val="0"/>
                <w:szCs w:val="21"/>
              </w:rPr>
              <w:t>分</w:t>
            </w:r>
          </w:p>
        </w:tc>
        <w:tc>
          <w:tcPr>
            <w:tcW w:w="61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1、一般技术参数条款（未标注“▲”）响应得分，合计10条，全部满足得15分，每有一条负偏离，扣1.5分。</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2、重要参数为带“▲”参数条款，合计5条，全部满足的得15分，每有一条负偏离，扣3分。</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说明：带“▲”项的技术参数为本项目重要参数，投标人或所投产品生产厂家提供具有CMA和CNAS第三方检测机构出具的检验报告复印件加盖公章予以佐证，否则不予认定，视为不满足。</w:t>
            </w:r>
          </w:p>
        </w:tc>
      </w:tr>
      <w:tr>
        <w:tblPrEx>
          <w:tblLayout w:type="fixed"/>
          <w:tblCellMar>
            <w:top w:w="57" w:type="dxa"/>
            <w:left w:w="108" w:type="dxa"/>
            <w:bottom w:w="57" w:type="dxa"/>
            <w:right w:w="108" w:type="dxa"/>
          </w:tblCellMar>
        </w:tblPrEx>
        <w:trPr>
          <w:trHeight w:val="297"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widowControl/>
              <w:snapToGrid w:val="0"/>
              <w:ind w:firstLine="420" w:firstLineChars="200"/>
              <w:rPr>
                <w:rFonts w:ascii="??" w:hAnsi="??" w:cs="??"/>
                <w:color w:val="000000"/>
                <w:kern w:val="0"/>
                <w:szCs w:val="21"/>
              </w:rPr>
            </w:pPr>
            <w:r>
              <w:rPr>
                <w:rFonts w:ascii="??" w:hAnsi="??" w:cs="??"/>
                <w:color w:val="000000"/>
                <w:kern w:val="0"/>
                <w:szCs w:val="21"/>
              </w:rPr>
              <w:t>3</w:t>
            </w:r>
          </w:p>
        </w:tc>
        <w:tc>
          <w:tcPr>
            <w:tcW w:w="1575" w:type="dxa"/>
            <w:tcBorders>
              <w:top w:val="single" w:color="auto" w:sz="4" w:space="0"/>
              <w:left w:val="nil"/>
              <w:bottom w:val="single" w:color="auto" w:sz="4" w:space="0"/>
              <w:right w:val="single" w:color="auto" w:sz="4" w:space="0"/>
            </w:tcBorders>
            <w:vAlign w:val="center"/>
          </w:tcPr>
          <w:p>
            <w:pPr>
              <w:widowControl/>
              <w:snapToGrid w:val="0"/>
              <w:jc w:val="center"/>
              <w:rPr>
                <w:rFonts w:ascii="??" w:hAnsi="??" w:cs="??"/>
                <w:color w:val="000000"/>
                <w:kern w:val="0"/>
                <w:szCs w:val="21"/>
              </w:rPr>
            </w:pPr>
            <w:r>
              <w:rPr>
                <w:rFonts w:hAnsi="??" w:eastAsia="Times New Roman"/>
                <w:szCs w:val="21"/>
              </w:rPr>
              <w:t>售后服务</w:t>
            </w:r>
          </w:p>
        </w:tc>
        <w:tc>
          <w:tcPr>
            <w:tcW w:w="915" w:type="dxa"/>
            <w:tcBorders>
              <w:top w:val="single" w:color="auto" w:sz="4" w:space="0"/>
              <w:left w:val="nil"/>
              <w:bottom w:val="single" w:color="auto" w:sz="4" w:space="0"/>
              <w:right w:val="single" w:color="auto" w:sz="4" w:space="0"/>
            </w:tcBorders>
            <w:vAlign w:val="center"/>
          </w:tcPr>
          <w:p>
            <w:pPr>
              <w:widowControl/>
              <w:snapToGrid w:val="0"/>
              <w:jc w:val="center"/>
              <w:rPr>
                <w:rFonts w:ascii="??" w:hAnsi="??" w:cs="??"/>
                <w:color w:val="000000"/>
                <w:kern w:val="0"/>
                <w:szCs w:val="21"/>
              </w:rPr>
            </w:pPr>
            <w:r>
              <w:rPr>
                <w:rFonts w:hint="eastAsia" w:hAnsi="??" w:eastAsia="宋体"/>
                <w:szCs w:val="21"/>
                <w:lang w:val="en-US" w:eastAsia="zh-CN"/>
              </w:rPr>
              <w:t>10</w:t>
            </w:r>
            <w:r>
              <w:rPr>
                <w:rFonts w:hAnsi="??" w:eastAsia="Times New Roman"/>
                <w:szCs w:val="21"/>
              </w:rPr>
              <w:t>分</w:t>
            </w:r>
          </w:p>
        </w:tc>
        <w:tc>
          <w:tcPr>
            <w:tcW w:w="61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根据供应商针对本项目提供的售后服务方案（包括但不限于：①售后服务承诺；②本地化服务能力；③售后服务人员配置；④</w:t>
            </w:r>
            <w:r>
              <w:rPr>
                <w:rFonts w:hint="eastAsia" w:ascii="宋体" w:hAnsi="宋体" w:eastAsia="宋体" w:cs="宋体"/>
                <w:color w:val="000000"/>
                <w:kern w:val="0"/>
                <w:szCs w:val="21"/>
                <w:lang w:val="en-US" w:eastAsia="zh-CN"/>
              </w:rPr>
              <w:t>备品备件</w:t>
            </w:r>
            <w:r>
              <w:rPr>
                <w:rFonts w:hint="eastAsia" w:ascii="宋体" w:hAnsi="宋体" w:eastAsia="宋体" w:cs="宋体"/>
                <w:color w:val="000000"/>
                <w:kern w:val="0"/>
                <w:szCs w:val="21"/>
              </w:rPr>
              <w:t>；进行综合评审。供应商提供的方案包含前述要求的内容且满足招标文件要求的得</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分，每缺少一项要求的方案内容扣</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分，扣完为止；方案中有一处错误的（错误是指：项目名称或项目编号或实施地点与本项目要求不一致的，方案中有一处描述不切合项目实际的、或逻辑错误等相关错误），一处扣0.5分，不提供售后服务方案的不得分。</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投标人或所投产品生产厂家获得法定认证中心颁布的商品售后服务五星级认证证书的得1分，四星级及以下认证证书的得0.5分，提供证书复印件。</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投标人符合《售后服务体系完善程度认证证书》达到10星级以及上的得1分，10星级以下的得0.5分，不满足的不得分。</w:t>
            </w:r>
          </w:p>
        </w:tc>
      </w:tr>
      <w:tr>
        <w:tblPrEx>
          <w:tblLayout w:type="fixed"/>
          <w:tblCellMar>
            <w:top w:w="57" w:type="dxa"/>
            <w:left w:w="108" w:type="dxa"/>
            <w:bottom w:w="57" w:type="dxa"/>
            <w:right w:w="108" w:type="dxa"/>
          </w:tblCellMar>
        </w:tblPrEx>
        <w:trPr>
          <w:trHeight w:val="2905"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 w:hAnsi="??" w:cs="??"/>
                <w:color w:val="000000"/>
                <w:kern w:val="0"/>
                <w:szCs w:val="21"/>
              </w:rPr>
            </w:pPr>
            <w:r>
              <w:rPr>
                <w:rFonts w:ascii="??" w:hAnsi="??" w:cs="??"/>
                <w:color w:val="000000"/>
                <w:kern w:val="0"/>
                <w:szCs w:val="21"/>
              </w:rPr>
              <w:t>4</w:t>
            </w:r>
          </w:p>
        </w:tc>
        <w:tc>
          <w:tcPr>
            <w:tcW w:w="1575"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 w:hAnsi="??" w:cs="??"/>
                <w:szCs w:val="21"/>
              </w:rPr>
            </w:pPr>
            <w:r>
              <w:rPr>
                <w:rFonts w:hint="eastAsia" w:ascii="宋体" w:hAnsi="宋体" w:eastAsia="宋体" w:cs="宋体"/>
                <w:szCs w:val="21"/>
              </w:rPr>
              <w:t>项目实施</w:t>
            </w:r>
          </w:p>
          <w:p>
            <w:pPr>
              <w:widowControl/>
              <w:snapToGrid w:val="0"/>
              <w:jc w:val="center"/>
              <w:rPr>
                <w:rFonts w:ascii="??" w:hAnsi="??" w:cs="??"/>
                <w:color w:val="000000"/>
                <w:kern w:val="0"/>
                <w:szCs w:val="21"/>
              </w:rPr>
            </w:pPr>
            <w:r>
              <w:rPr>
                <w:rFonts w:hint="eastAsia" w:ascii="宋体" w:hAnsi="宋体" w:eastAsia="宋体" w:cs="宋体"/>
                <w:szCs w:val="21"/>
              </w:rPr>
              <w:t>方案</w:t>
            </w:r>
          </w:p>
        </w:tc>
        <w:tc>
          <w:tcPr>
            <w:tcW w:w="91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 w:hAnsi="??" w:cs="??"/>
                <w:color w:val="000000"/>
                <w:kern w:val="0"/>
                <w:szCs w:val="21"/>
              </w:rPr>
            </w:pPr>
            <w:r>
              <w:rPr>
                <w:rFonts w:hint="eastAsia" w:ascii="??" w:hAnsi="??" w:eastAsia="宋体" w:cs="??"/>
                <w:color w:val="000000"/>
                <w:kern w:val="0"/>
                <w:szCs w:val="21"/>
              </w:rPr>
              <w:t>8</w:t>
            </w:r>
            <w:r>
              <w:rPr>
                <w:rFonts w:hint="eastAsia" w:ascii="宋体" w:hAnsi="宋体" w:eastAsia="宋体" w:cs="宋体"/>
                <w:color w:val="000000"/>
                <w:kern w:val="0"/>
                <w:szCs w:val="21"/>
              </w:rPr>
              <w:t>分</w:t>
            </w:r>
          </w:p>
        </w:tc>
        <w:tc>
          <w:tcPr>
            <w:tcW w:w="6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根据供应商针对本项目提供的项目实施方案（包括但不限于：①供货方案；②运输方案；③进度安排；④安装调试方案；进行综合评审。供应商提供的方案包含前述要求的内容且满足招标文件要求的得8分，每缺少一项要求的方案内容扣2分，扣完为止；方案中有一处错误的（错误是指：项目名称或项目编号或实施地点与本项目要求不一致的，方案中有一处描述不切合项目实际的，或涉及的规范、标准错误或逻辑错误等相关错误），一处扣0.5分，不提供项目实施方案的不得分。</w:t>
            </w:r>
          </w:p>
        </w:tc>
      </w:tr>
      <w:tr>
        <w:tblPrEx>
          <w:tblLayout w:type="fixed"/>
          <w:tblCellMar>
            <w:top w:w="57" w:type="dxa"/>
            <w:left w:w="108" w:type="dxa"/>
            <w:bottom w:w="57" w:type="dxa"/>
            <w:right w:w="108" w:type="dxa"/>
          </w:tblCellMar>
        </w:tblPrEx>
        <w:trPr>
          <w:trHeight w:val="1462"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 w:hAnsi="??" w:cs="??"/>
                <w:color w:val="000000"/>
                <w:kern w:val="0"/>
                <w:szCs w:val="21"/>
              </w:rPr>
            </w:pPr>
            <w:r>
              <w:rPr>
                <w:rFonts w:ascii="??" w:hAnsi="??" w:cs="??"/>
                <w:color w:val="000000"/>
                <w:kern w:val="0"/>
                <w:szCs w:val="21"/>
              </w:rPr>
              <w:t>5</w:t>
            </w:r>
          </w:p>
        </w:tc>
        <w:tc>
          <w:tcPr>
            <w:tcW w:w="1575" w:type="dxa"/>
            <w:tcBorders>
              <w:top w:val="single" w:color="auto" w:sz="4" w:space="0"/>
              <w:left w:val="nil"/>
              <w:bottom w:val="single" w:color="auto" w:sz="4" w:space="0"/>
              <w:right w:val="single" w:color="auto" w:sz="4" w:space="0"/>
            </w:tcBorders>
            <w:vAlign w:val="center"/>
          </w:tcPr>
          <w:p>
            <w:pPr>
              <w:widowControl/>
              <w:snapToGrid w:val="0"/>
              <w:jc w:val="center"/>
              <w:rPr>
                <w:rFonts w:ascii="??" w:hAnsi="??" w:cs="??"/>
                <w:color w:val="000000"/>
                <w:kern w:val="0"/>
                <w:szCs w:val="21"/>
              </w:rPr>
            </w:pPr>
            <w:r>
              <w:rPr>
                <w:rFonts w:hint="eastAsia" w:ascii="宋体" w:hAnsi="宋体" w:eastAsia="宋体" w:cs="宋体"/>
                <w:kern w:val="0"/>
                <w:szCs w:val="21"/>
              </w:rPr>
              <w:t>样品</w:t>
            </w:r>
          </w:p>
        </w:tc>
        <w:tc>
          <w:tcPr>
            <w:tcW w:w="915" w:type="dxa"/>
            <w:tcBorders>
              <w:top w:val="single" w:color="auto" w:sz="4" w:space="0"/>
              <w:left w:val="nil"/>
              <w:bottom w:val="single" w:color="auto" w:sz="4" w:space="0"/>
              <w:right w:val="single" w:color="auto" w:sz="4" w:space="0"/>
            </w:tcBorders>
            <w:vAlign w:val="center"/>
          </w:tcPr>
          <w:p>
            <w:pPr>
              <w:widowControl/>
              <w:snapToGrid w:val="0"/>
              <w:jc w:val="center"/>
              <w:rPr>
                <w:rFonts w:ascii="??" w:hAnsi="??" w:cs="??"/>
                <w:color w:val="000000"/>
                <w:kern w:val="0"/>
                <w:szCs w:val="21"/>
              </w:rPr>
            </w:pPr>
            <w:r>
              <w:rPr>
                <w:rFonts w:hint="eastAsia" w:ascii="??" w:hAnsi="??" w:eastAsia="宋体" w:cs="??"/>
                <w:color w:val="000000"/>
                <w:kern w:val="0"/>
                <w:szCs w:val="21"/>
                <w:lang w:val="en-US" w:eastAsia="zh-CN"/>
              </w:rPr>
              <w:t>14</w:t>
            </w:r>
            <w:r>
              <w:rPr>
                <w:rFonts w:hint="eastAsia" w:ascii="宋体" w:hAnsi="宋体" w:eastAsia="宋体" w:cs="宋体"/>
                <w:color w:val="000000"/>
                <w:kern w:val="0"/>
                <w:szCs w:val="21"/>
              </w:rPr>
              <w:t>分</w:t>
            </w:r>
          </w:p>
        </w:tc>
        <w:tc>
          <w:tcPr>
            <w:tcW w:w="61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提</w:t>
            </w:r>
            <w:r>
              <w:rPr>
                <w:rFonts w:hint="eastAsia" w:ascii="宋体" w:hAnsi="宋体" w:eastAsia="宋体" w:cs="宋体"/>
                <w:color w:val="000000"/>
                <w:kern w:val="0"/>
                <w:szCs w:val="21"/>
                <w:lang w:val="en-US" w:eastAsia="zh-CN"/>
              </w:rPr>
              <w:t>供实物样品（日间输液椅、</w:t>
            </w:r>
            <w:r>
              <w:rPr>
                <w:rFonts w:hint="eastAsia" w:ascii="宋体" w:hAnsi="宋体" w:cs="宋体"/>
                <w:b w:val="0"/>
                <w:bCs w:val="0"/>
                <w:color w:val="000000"/>
                <w:kern w:val="0"/>
                <w:sz w:val="21"/>
                <w:szCs w:val="21"/>
                <w:lang w:val="en-US" w:eastAsia="zh-CN"/>
              </w:rPr>
              <w:t>多功能超声医生专用椅</w:t>
            </w:r>
            <w:r>
              <w:rPr>
                <w:rFonts w:hint="eastAsia" w:ascii="宋体" w:hAnsi="宋体" w:eastAsia="宋体" w:cs="宋体"/>
                <w:color w:val="000000"/>
                <w:kern w:val="0"/>
                <w:szCs w:val="21"/>
                <w:lang w:val="en-US" w:eastAsia="zh-CN"/>
              </w:rPr>
              <w:t>），按成品款式、规格、材质、工艺等要求进行综合评分，优秀得11-14分，良好得6-10分，一般得1-5分。</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注：投标人未提供样品的、未按要求提供样品、样品数量不齐的，样品分为零分。</w:t>
            </w:r>
          </w:p>
        </w:tc>
      </w:tr>
      <w:tr>
        <w:tblPrEx>
          <w:tblLayout w:type="fixed"/>
          <w:tblCellMar>
            <w:top w:w="57" w:type="dxa"/>
            <w:left w:w="108" w:type="dxa"/>
            <w:bottom w:w="57" w:type="dxa"/>
            <w:right w:w="108" w:type="dxa"/>
          </w:tblCellMar>
        </w:tblPrEx>
        <w:trPr>
          <w:trHeight w:val="1488"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widowControl/>
              <w:snapToGrid w:val="0"/>
              <w:ind w:firstLine="420" w:firstLineChars="200"/>
              <w:jc w:val="left"/>
              <w:rPr>
                <w:rFonts w:ascii="??" w:hAnsi="??" w:cs="??"/>
                <w:color w:val="000000"/>
                <w:kern w:val="0"/>
                <w:szCs w:val="21"/>
              </w:rPr>
            </w:pPr>
            <w:r>
              <w:rPr>
                <w:rFonts w:ascii="??" w:hAnsi="??" w:cs="??"/>
                <w:color w:val="000000"/>
                <w:kern w:val="0"/>
                <w:szCs w:val="21"/>
              </w:rPr>
              <w:t>6</w:t>
            </w:r>
          </w:p>
        </w:tc>
        <w:tc>
          <w:tcPr>
            <w:tcW w:w="1575" w:type="dxa"/>
            <w:tcBorders>
              <w:top w:val="single" w:color="auto" w:sz="4" w:space="0"/>
              <w:left w:val="nil"/>
              <w:bottom w:val="single" w:color="auto" w:sz="4" w:space="0"/>
              <w:right w:val="single" w:color="auto" w:sz="4" w:space="0"/>
            </w:tcBorders>
            <w:vAlign w:val="center"/>
          </w:tcPr>
          <w:p>
            <w:pPr>
              <w:widowControl/>
              <w:snapToGrid w:val="0"/>
              <w:jc w:val="center"/>
              <w:rPr>
                <w:rFonts w:ascii="??" w:hAnsi="??" w:cs="??"/>
                <w:color w:val="000000"/>
                <w:kern w:val="0"/>
                <w:szCs w:val="21"/>
              </w:rPr>
            </w:pPr>
            <w:r>
              <w:rPr>
                <w:rFonts w:hint="eastAsia" w:hAnsi="??" w:eastAsia="宋体"/>
                <w:szCs w:val="21"/>
                <w:lang w:val="en-US" w:eastAsia="zh-CN"/>
              </w:rPr>
              <w:t>投标人综合实力</w:t>
            </w:r>
          </w:p>
        </w:tc>
        <w:tc>
          <w:tcPr>
            <w:tcW w:w="915" w:type="dxa"/>
            <w:tcBorders>
              <w:top w:val="single" w:color="auto" w:sz="4" w:space="0"/>
              <w:left w:val="nil"/>
              <w:bottom w:val="single" w:color="auto" w:sz="4" w:space="0"/>
              <w:right w:val="single" w:color="auto" w:sz="4" w:space="0"/>
            </w:tcBorders>
            <w:vAlign w:val="center"/>
          </w:tcPr>
          <w:p>
            <w:pPr>
              <w:widowControl/>
              <w:snapToGrid w:val="0"/>
              <w:jc w:val="center"/>
              <w:rPr>
                <w:rFonts w:ascii="??" w:hAnsi="??" w:cs="??"/>
                <w:color w:val="000000"/>
                <w:kern w:val="0"/>
                <w:szCs w:val="21"/>
              </w:rPr>
            </w:pPr>
            <w:r>
              <w:rPr>
                <w:rFonts w:hint="eastAsia" w:ascii="??" w:hAnsi="??" w:eastAsia="宋体" w:cs="??"/>
                <w:color w:val="000000"/>
                <w:kern w:val="0"/>
                <w:szCs w:val="21"/>
                <w:lang w:val="en-US" w:eastAsia="zh-CN"/>
              </w:rPr>
              <w:t>8</w:t>
            </w:r>
            <w:r>
              <w:rPr>
                <w:rFonts w:hint="eastAsia" w:ascii="宋体" w:hAnsi="宋体" w:eastAsia="宋体" w:cs="宋体"/>
                <w:color w:val="000000"/>
                <w:kern w:val="0"/>
                <w:szCs w:val="21"/>
              </w:rPr>
              <w:t>分</w:t>
            </w:r>
          </w:p>
        </w:tc>
        <w:tc>
          <w:tcPr>
            <w:tcW w:w="61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1、投标人或所投产品生产厂家获得企业诚信管理体系认证证书的得</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分</w:t>
            </w:r>
            <w:r>
              <w:rPr>
                <w:rFonts w:hint="eastAsia" w:ascii="宋体" w:hAnsi="宋体" w:eastAsia="宋体" w:cs="宋体"/>
                <w:color w:val="000000"/>
                <w:kern w:val="0"/>
                <w:szCs w:val="21"/>
                <w:lang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2、投标人或所投产品生产厂家获得职业健康安全管理体系认证证书的得</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分。</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3、投标人或所投产品生产厂家获得品质验证认证证书的得</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分。</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投标人或所投产品生产厂家</w:t>
            </w:r>
            <w:r>
              <w:rPr>
                <w:rFonts w:hint="eastAsia" w:ascii="宋体" w:hAnsi="宋体" w:eastAsia="宋体" w:cs="宋体"/>
                <w:color w:val="000000"/>
                <w:kern w:val="0"/>
                <w:szCs w:val="21"/>
                <w:lang w:val="en-US" w:eastAsia="zh-CN"/>
              </w:rPr>
              <w:t>具有</w:t>
            </w:r>
            <w:r>
              <w:rPr>
                <w:rFonts w:hint="eastAsia" w:ascii="宋体" w:hAnsi="宋体" w:eastAsia="宋体" w:cs="宋体"/>
                <w:color w:val="000000"/>
                <w:kern w:val="0"/>
                <w:szCs w:val="21"/>
              </w:rPr>
              <w:t>绿色供应链管理体系认证证书的得</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分。</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注：提供有效期内证书复印件盖投标人鲜章，未提供或信息有误的不得分。</w:t>
            </w:r>
          </w:p>
        </w:tc>
      </w:tr>
    </w:tbl>
    <w:p>
      <w:pPr>
        <w:snapToGrid w:val="0"/>
        <w:spacing w:line="360" w:lineRule="auto"/>
        <w:jc w:val="left"/>
        <w:rPr>
          <w:rStyle w:val="20"/>
          <w:rFonts w:hAnsi="??"/>
          <w:b/>
          <w:bCs/>
          <w:kern w:val="0"/>
          <w:sz w:val="24"/>
        </w:rPr>
      </w:pPr>
    </w:p>
    <w:p>
      <w:pPr>
        <w:snapToGrid w:val="0"/>
        <w:spacing w:line="360" w:lineRule="auto"/>
        <w:ind w:firstLine="480" w:firstLineChars="200"/>
        <w:jc w:val="left"/>
        <w:rPr>
          <w:rStyle w:val="20"/>
          <w:rFonts w:hAnsi="??"/>
          <w:b/>
          <w:bCs/>
          <w:kern w:val="0"/>
          <w:sz w:val="24"/>
        </w:rPr>
      </w:pPr>
      <w:r>
        <w:rPr>
          <w:rStyle w:val="20"/>
          <w:rFonts w:hAnsi="??" w:eastAsia="Times New Roman"/>
          <w:b/>
          <w:bCs/>
          <w:kern w:val="0"/>
          <w:sz w:val="24"/>
        </w:rPr>
        <w:t>备注：本项目带“</w:t>
      </w:r>
      <w:r>
        <w:rPr>
          <w:rStyle w:val="20"/>
          <w:rFonts w:hint="eastAsia" w:ascii="宋体" w:hAnsi="宋体" w:eastAsia="宋体" w:cs="宋体"/>
          <w:b/>
          <w:bCs/>
          <w:kern w:val="0"/>
          <w:sz w:val="24"/>
        </w:rPr>
        <w:t>★</w:t>
      </w:r>
      <w:r>
        <w:rPr>
          <w:rStyle w:val="20"/>
          <w:rFonts w:hAnsi="??" w:eastAsia="Times New Roman"/>
          <w:b/>
          <w:bCs/>
          <w:kern w:val="0"/>
          <w:sz w:val="24"/>
        </w:rPr>
        <w:t>”的需求为实质性要求，供应商必须响应并满足；带“▲”的为重要性参数条款，需提供相应的证明材料进行佐证。</w:t>
      </w:r>
    </w:p>
    <w:p/>
    <w:sectPr>
      <w:headerReference r:id="rId5" w:type="first"/>
      <w:headerReference r:id="rId3" w:type="default"/>
      <w:footerReference r:id="rId6" w:type="default"/>
      <w:headerReference r:id="rId4" w:type="even"/>
      <w:pgSz w:w="11906" w:h="16838"/>
      <w:pgMar w:top="1134"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7wAWNEAAAACAQAADwAAAAAAAAABACAA&#10;AAAiAAAAZHJzL2Rvd25yZXYueG1sUEsBAhQAFAAAAAgAh07iQBsTqE0UAgAABAQAAA4AAAAAAAAA&#10;AQAgAAAAIAEAAGRycy9lMm9Eb2MueG1sUEsFBgAAAAAGAAYAWQEAAKY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NDQ5OThhMDRiMDM1MTMyMTM1YTc5OWI5NTlmNjIifQ=="/>
  </w:docVars>
  <w:rsids>
    <w:rsidRoot w:val="00741B06"/>
    <w:rsid w:val="00094567"/>
    <w:rsid w:val="001950CD"/>
    <w:rsid w:val="001972AA"/>
    <w:rsid w:val="001C52D7"/>
    <w:rsid w:val="0027610A"/>
    <w:rsid w:val="002D7181"/>
    <w:rsid w:val="002E128E"/>
    <w:rsid w:val="00352A7F"/>
    <w:rsid w:val="00385B10"/>
    <w:rsid w:val="003B3E5E"/>
    <w:rsid w:val="004C3650"/>
    <w:rsid w:val="004F669C"/>
    <w:rsid w:val="00610834"/>
    <w:rsid w:val="00656C2F"/>
    <w:rsid w:val="0069387F"/>
    <w:rsid w:val="006C40D5"/>
    <w:rsid w:val="006D3A5D"/>
    <w:rsid w:val="007015FF"/>
    <w:rsid w:val="00741B06"/>
    <w:rsid w:val="007C3F8C"/>
    <w:rsid w:val="008039C5"/>
    <w:rsid w:val="00864587"/>
    <w:rsid w:val="0088220D"/>
    <w:rsid w:val="00953087"/>
    <w:rsid w:val="00AD1F34"/>
    <w:rsid w:val="00B0342E"/>
    <w:rsid w:val="00B1503C"/>
    <w:rsid w:val="00C5788F"/>
    <w:rsid w:val="00CD1A9B"/>
    <w:rsid w:val="00CE5715"/>
    <w:rsid w:val="00D64098"/>
    <w:rsid w:val="00D96C47"/>
    <w:rsid w:val="00F5183B"/>
    <w:rsid w:val="00FD5427"/>
    <w:rsid w:val="03C174D4"/>
    <w:rsid w:val="03DC7AAA"/>
    <w:rsid w:val="04D60EDF"/>
    <w:rsid w:val="05287F4F"/>
    <w:rsid w:val="0534300A"/>
    <w:rsid w:val="0556456F"/>
    <w:rsid w:val="06B34EAF"/>
    <w:rsid w:val="07520FAC"/>
    <w:rsid w:val="08A855EF"/>
    <w:rsid w:val="08CC2AE7"/>
    <w:rsid w:val="09CD7B7C"/>
    <w:rsid w:val="09DE408F"/>
    <w:rsid w:val="09F74012"/>
    <w:rsid w:val="0A726602"/>
    <w:rsid w:val="0C320657"/>
    <w:rsid w:val="0C4B5677"/>
    <w:rsid w:val="0CB35177"/>
    <w:rsid w:val="0E4A74B7"/>
    <w:rsid w:val="0E515382"/>
    <w:rsid w:val="0F814D30"/>
    <w:rsid w:val="0FA15BBB"/>
    <w:rsid w:val="0FE02162"/>
    <w:rsid w:val="11436BA2"/>
    <w:rsid w:val="11D4103B"/>
    <w:rsid w:val="129D07A7"/>
    <w:rsid w:val="12B9137D"/>
    <w:rsid w:val="130F60C4"/>
    <w:rsid w:val="13F20630"/>
    <w:rsid w:val="14776E01"/>
    <w:rsid w:val="149C1580"/>
    <w:rsid w:val="14E60E98"/>
    <w:rsid w:val="14F542D1"/>
    <w:rsid w:val="15A77526"/>
    <w:rsid w:val="15CF08DE"/>
    <w:rsid w:val="15F41ACB"/>
    <w:rsid w:val="16825902"/>
    <w:rsid w:val="16E73711"/>
    <w:rsid w:val="17A54692"/>
    <w:rsid w:val="18390D3F"/>
    <w:rsid w:val="188663D0"/>
    <w:rsid w:val="18927E32"/>
    <w:rsid w:val="19AA2DD4"/>
    <w:rsid w:val="19DD0A2E"/>
    <w:rsid w:val="1A491A28"/>
    <w:rsid w:val="1A620AB1"/>
    <w:rsid w:val="1AC26572"/>
    <w:rsid w:val="1ACA7BE4"/>
    <w:rsid w:val="1B230902"/>
    <w:rsid w:val="1BD31730"/>
    <w:rsid w:val="1C1B169F"/>
    <w:rsid w:val="1C700AE5"/>
    <w:rsid w:val="1C825C73"/>
    <w:rsid w:val="1D751F22"/>
    <w:rsid w:val="1DA71F3C"/>
    <w:rsid w:val="1E0A59F2"/>
    <w:rsid w:val="1E3C2878"/>
    <w:rsid w:val="1F4B1798"/>
    <w:rsid w:val="1F737547"/>
    <w:rsid w:val="1F8212E6"/>
    <w:rsid w:val="1F8C51D4"/>
    <w:rsid w:val="1FBC3C0C"/>
    <w:rsid w:val="2083739A"/>
    <w:rsid w:val="20BA4167"/>
    <w:rsid w:val="20E50D46"/>
    <w:rsid w:val="210C6227"/>
    <w:rsid w:val="21417BCA"/>
    <w:rsid w:val="21631F16"/>
    <w:rsid w:val="217627AC"/>
    <w:rsid w:val="217B77F4"/>
    <w:rsid w:val="21C61EB1"/>
    <w:rsid w:val="224C4931"/>
    <w:rsid w:val="227D00B7"/>
    <w:rsid w:val="228D4C0E"/>
    <w:rsid w:val="239B27DE"/>
    <w:rsid w:val="248829B6"/>
    <w:rsid w:val="24F20BCC"/>
    <w:rsid w:val="25CD6FEF"/>
    <w:rsid w:val="262F5BC1"/>
    <w:rsid w:val="26646044"/>
    <w:rsid w:val="2673110B"/>
    <w:rsid w:val="26900E51"/>
    <w:rsid w:val="26E252AF"/>
    <w:rsid w:val="27940B5B"/>
    <w:rsid w:val="292B7326"/>
    <w:rsid w:val="29767B14"/>
    <w:rsid w:val="2A3C426D"/>
    <w:rsid w:val="2AAB5023"/>
    <w:rsid w:val="2AF35999"/>
    <w:rsid w:val="2C1D7C30"/>
    <w:rsid w:val="2C396203"/>
    <w:rsid w:val="2D284F8E"/>
    <w:rsid w:val="2D421E41"/>
    <w:rsid w:val="2D851C28"/>
    <w:rsid w:val="2DC51DFA"/>
    <w:rsid w:val="2E48216D"/>
    <w:rsid w:val="2EDF25BF"/>
    <w:rsid w:val="3042789E"/>
    <w:rsid w:val="30BA26F9"/>
    <w:rsid w:val="30DF35DF"/>
    <w:rsid w:val="310D1E46"/>
    <w:rsid w:val="31587127"/>
    <w:rsid w:val="319717EC"/>
    <w:rsid w:val="328947D0"/>
    <w:rsid w:val="32C90E51"/>
    <w:rsid w:val="32E469EF"/>
    <w:rsid w:val="32EE09D7"/>
    <w:rsid w:val="33BF58E0"/>
    <w:rsid w:val="342D4F9B"/>
    <w:rsid w:val="346D1017"/>
    <w:rsid w:val="35453263"/>
    <w:rsid w:val="354A5827"/>
    <w:rsid w:val="354D76B9"/>
    <w:rsid w:val="35B21EA2"/>
    <w:rsid w:val="35C57D23"/>
    <w:rsid w:val="3670281F"/>
    <w:rsid w:val="3776204F"/>
    <w:rsid w:val="3784471A"/>
    <w:rsid w:val="37C31646"/>
    <w:rsid w:val="38B54F0F"/>
    <w:rsid w:val="39490206"/>
    <w:rsid w:val="39D7210F"/>
    <w:rsid w:val="3A8C1CE9"/>
    <w:rsid w:val="3AAD0390"/>
    <w:rsid w:val="3AE03AEA"/>
    <w:rsid w:val="3B0F64DB"/>
    <w:rsid w:val="3B1041EA"/>
    <w:rsid w:val="3C632255"/>
    <w:rsid w:val="3CA16A4D"/>
    <w:rsid w:val="3CA217CC"/>
    <w:rsid w:val="3D0156E5"/>
    <w:rsid w:val="3E7176A3"/>
    <w:rsid w:val="3EE607D5"/>
    <w:rsid w:val="3F446ADE"/>
    <w:rsid w:val="3FB20324"/>
    <w:rsid w:val="3FFB69E1"/>
    <w:rsid w:val="401D0B21"/>
    <w:rsid w:val="40277837"/>
    <w:rsid w:val="40FD1DFE"/>
    <w:rsid w:val="415C03C6"/>
    <w:rsid w:val="41B7558C"/>
    <w:rsid w:val="426A3B42"/>
    <w:rsid w:val="42D139E6"/>
    <w:rsid w:val="4356098B"/>
    <w:rsid w:val="436F3D90"/>
    <w:rsid w:val="44F03E22"/>
    <w:rsid w:val="45817D17"/>
    <w:rsid w:val="45C9778B"/>
    <w:rsid w:val="46336151"/>
    <w:rsid w:val="471D6B4A"/>
    <w:rsid w:val="473B285C"/>
    <w:rsid w:val="481873D4"/>
    <w:rsid w:val="49AA37E8"/>
    <w:rsid w:val="4A097638"/>
    <w:rsid w:val="4A327C80"/>
    <w:rsid w:val="4AAE27E7"/>
    <w:rsid w:val="4AE677A2"/>
    <w:rsid w:val="4AF06968"/>
    <w:rsid w:val="4BEC7DB9"/>
    <w:rsid w:val="4C2E07AD"/>
    <w:rsid w:val="4CBC059D"/>
    <w:rsid w:val="4CEB5C96"/>
    <w:rsid w:val="4D4B4FA8"/>
    <w:rsid w:val="4DAC254D"/>
    <w:rsid w:val="4DFD63AC"/>
    <w:rsid w:val="4F0C290D"/>
    <w:rsid w:val="4F394473"/>
    <w:rsid w:val="4F47267C"/>
    <w:rsid w:val="4F813034"/>
    <w:rsid w:val="4FB3061E"/>
    <w:rsid w:val="507471C5"/>
    <w:rsid w:val="51BB31BD"/>
    <w:rsid w:val="52144933"/>
    <w:rsid w:val="53365752"/>
    <w:rsid w:val="533718FB"/>
    <w:rsid w:val="53B73656"/>
    <w:rsid w:val="540F6508"/>
    <w:rsid w:val="54D17886"/>
    <w:rsid w:val="552F3436"/>
    <w:rsid w:val="55F96B25"/>
    <w:rsid w:val="566F2C5E"/>
    <w:rsid w:val="56886536"/>
    <w:rsid w:val="57290FDF"/>
    <w:rsid w:val="5799390F"/>
    <w:rsid w:val="57FB798C"/>
    <w:rsid w:val="58F56CBE"/>
    <w:rsid w:val="5924416D"/>
    <w:rsid w:val="5956196D"/>
    <w:rsid w:val="59D9340E"/>
    <w:rsid w:val="5A0B2FBF"/>
    <w:rsid w:val="5A4A6AE9"/>
    <w:rsid w:val="5A6667E5"/>
    <w:rsid w:val="5A9F4621"/>
    <w:rsid w:val="5ABE6B32"/>
    <w:rsid w:val="5AD37DE1"/>
    <w:rsid w:val="5B3D01A9"/>
    <w:rsid w:val="5BC73E8B"/>
    <w:rsid w:val="5BD11DA0"/>
    <w:rsid w:val="5BFD7145"/>
    <w:rsid w:val="5BFF7F08"/>
    <w:rsid w:val="5C0F40D6"/>
    <w:rsid w:val="5C9C24DC"/>
    <w:rsid w:val="5CD80218"/>
    <w:rsid w:val="5CE53C15"/>
    <w:rsid w:val="5D175519"/>
    <w:rsid w:val="5DA54799"/>
    <w:rsid w:val="5E0950FA"/>
    <w:rsid w:val="5E8B62F5"/>
    <w:rsid w:val="5F3658CA"/>
    <w:rsid w:val="5FA41ACD"/>
    <w:rsid w:val="60213F69"/>
    <w:rsid w:val="606F16BC"/>
    <w:rsid w:val="61857118"/>
    <w:rsid w:val="61AB02B7"/>
    <w:rsid w:val="61AC213B"/>
    <w:rsid w:val="62080A0F"/>
    <w:rsid w:val="630669BC"/>
    <w:rsid w:val="6378177A"/>
    <w:rsid w:val="63FA13F6"/>
    <w:rsid w:val="647B23A4"/>
    <w:rsid w:val="64B279DF"/>
    <w:rsid w:val="64E36373"/>
    <w:rsid w:val="64E823D0"/>
    <w:rsid w:val="65681900"/>
    <w:rsid w:val="66081D64"/>
    <w:rsid w:val="66575693"/>
    <w:rsid w:val="671A0C14"/>
    <w:rsid w:val="67A05001"/>
    <w:rsid w:val="68652E10"/>
    <w:rsid w:val="6937225C"/>
    <w:rsid w:val="69651CE3"/>
    <w:rsid w:val="6A127BEA"/>
    <w:rsid w:val="6A776943"/>
    <w:rsid w:val="6B7C3A80"/>
    <w:rsid w:val="6B825298"/>
    <w:rsid w:val="6B8F28C2"/>
    <w:rsid w:val="6BD30FA2"/>
    <w:rsid w:val="6C0234E3"/>
    <w:rsid w:val="6CF6161C"/>
    <w:rsid w:val="6E94695D"/>
    <w:rsid w:val="6F9A686E"/>
    <w:rsid w:val="6FE423DF"/>
    <w:rsid w:val="6FFA14F3"/>
    <w:rsid w:val="70D55950"/>
    <w:rsid w:val="71200594"/>
    <w:rsid w:val="727F1D73"/>
    <w:rsid w:val="729C67B0"/>
    <w:rsid w:val="72A34AD9"/>
    <w:rsid w:val="732660F1"/>
    <w:rsid w:val="73284639"/>
    <w:rsid w:val="740B70E2"/>
    <w:rsid w:val="741C5FAB"/>
    <w:rsid w:val="74402EA1"/>
    <w:rsid w:val="747B3144"/>
    <w:rsid w:val="75BA5471"/>
    <w:rsid w:val="75D1335A"/>
    <w:rsid w:val="767D3E73"/>
    <w:rsid w:val="77B5423B"/>
    <w:rsid w:val="783B1B43"/>
    <w:rsid w:val="798F7CA5"/>
    <w:rsid w:val="7AB21EC3"/>
    <w:rsid w:val="7AC52F69"/>
    <w:rsid w:val="7AF644BC"/>
    <w:rsid w:val="7B126A00"/>
    <w:rsid w:val="7B4E293C"/>
    <w:rsid w:val="7B812EFA"/>
    <w:rsid w:val="7BA0545E"/>
    <w:rsid w:val="7C053A70"/>
    <w:rsid w:val="7CA11B8B"/>
    <w:rsid w:val="7D0A04B1"/>
    <w:rsid w:val="7D2F3E78"/>
    <w:rsid w:val="7D7E08B1"/>
    <w:rsid w:val="7D940B7C"/>
    <w:rsid w:val="7EE65B0B"/>
    <w:rsid w:val="7EEF6749"/>
    <w:rsid w:val="7F98747A"/>
    <w:rsid w:val="7FEB8E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 w:cs="Times New Roman"/>
      <w:kern w:val="2"/>
      <w:sz w:val="21"/>
      <w:szCs w:val="24"/>
      <w:lang w:val="en-US" w:eastAsia="zh-CN" w:bidi="ar-SA"/>
    </w:rPr>
  </w:style>
  <w:style w:type="paragraph" w:styleId="3">
    <w:name w:val="heading 1"/>
    <w:basedOn w:val="1"/>
    <w:next w:val="1"/>
    <w:link w:val="11"/>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12"/>
    <w:qFormat/>
    <w:uiPriority w:val="99"/>
    <w:pPr>
      <w:keepNext/>
      <w:keepLines/>
      <w:spacing w:before="260" w:after="260" w:line="415"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3"/>
    <w:qFormat/>
    <w:uiPriority w:val="99"/>
    <w:pPr>
      <w:spacing w:after="120"/>
    </w:pPr>
  </w:style>
  <w:style w:type="paragraph" w:styleId="5">
    <w:name w:val="index 8"/>
    <w:basedOn w:val="1"/>
    <w:next w:val="1"/>
    <w:qFormat/>
    <w:uiPriority w:val="99"/>
    <w:pPr>
      <w:spacing w:line="276" w:lineRule="auto"/>
      <w:jc w:val="left"/>
    </w:pPr>
    <w:rPr>
      <w:rFonts w:ascii="??" w:hAnsi="??"/>
      <w:color w:val="FF0000"/>
      <w:szCs w:val="21"/>
    </w:rPr>
  </w:style>
  <w:style w:type="paragraph" w:styleId="6">
    <w:name w:val="Balloon Text"/>
    <w:basedOn w:val="1"/>
    <w:link w:val="14"/>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rPr>
  </w:style>
  <w:style w:type="paragraph" w:styleId="8">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1">
    <w:name w:val="标题 1 Char"/>
    <w:basedOn w:val="10"/>
    <w:link w:val="3"/>
    <w:qFormat/>
    <w:uiPriority w:val="9"/>
    <w:rPr>
      <w:rFonts w:ascii="Times New Roman" w:hAnsi="Times New Roman"/>
      <w:b/>
      <w:bCs/>
      <w:kern w:val="44"/>
      <w:sz w:val="44"/>
      <w:szCs w:val="44"/>
    </w:rPr>
  </w:style>
  <w:style w:type="character" w:customStyle="1" w:styleId="12">
    <w:name w:val="标题 2 Char"/>
    <w:basedOn w:val="10"/>
    <w:link w:val="4"/>
    <w:semiHidden/>
    <w:qFormat/>
    <w:uiPriority w:val="9"/>
    <w:rPr>
      <w:rFonts w:asciiTheme="majorHAnsi" w:hAnsiTheme="majorHAnsi" w:eastAsiaTheme="majorEastAsia" w:cstheme="majorBidi"/>
      <w:b/>
      <w:bCs/>
      <w:sz w:val="32"/>
      <w:szCs w:val="32"/>
    </w:rPr>
  </w:style>
  <w:style w:type="character" w:customStyle="1" w:styleId="13">
    <w:name w:val="正文文本 Char"/>
    <w:basedOn w:val="10"/>
    <w:link w:val="2"/>
    <w:semiHidden/>
    <w:qFormat/>
    <w:uiPriority w:val="99"/>
    <w:rPr>
      <w:rFonts w:ascii="Times New Roman" w:hAnsi="Times New Roman"/>
      <w:szCs w:val="24"/>
    </w:rPr>
  </w:style>
  <w:style w:type="character" w:customStyle="1" w:styleId="14">
    <w:name w:val="批注框文本 Char"/>
    <w:basedOn w:val="10"/>
    <w:link w:val="6"/>
    <w:qFormat/>
    <w:locked/>
    <w:uiPriority w:val="99"/>
    <w:rPr>
      <w:rFonts w:ascii="Times New Roman" w:hAnsi="Times New Roman" w:eastAsia="Times New Roman" w:cs="Times New Roman"/>
      <w:kern w:val="2"/>
      <w:sz w:val="18"/>
      <w:szCs w:val="18"/>
    </w:rPr>
  </w:style>
  <w:style w:type="character" w:customStyle="1" w:styleId="15">
    <w:name w:val="页脚 Char"/>
    <w:basedOn w:val="10"/>
    <w:link w:val="7"/>
    <w:semiHidden/>
    <w:qFormat/>
    <w:uiPriority w:val="99"/>
    <w:rPr>
      <w:rFonts w:ascii="Times New Roman" w:hAnsi="Times New Roman"/>
      <w:sz w:val="18"/>
      <w:szCs w:val="18"/>
    </w:rPr>
  </w:style>
  <w:style w:type="character" w:customStyle="1" w:styleId="16">
    <w:name w:val="页眉 Char"/>
    <w:basedOn w:val="10"/>
    <w:link w:val="8"/>
    <w:semiHidden/>
    <w:qFormat/>
    <w:uiPriority w:val="99"/>
    <w:rPr>
      <w:rFonts w:ascii="Times New Roman" w:hAnsi="Times New Roman"/>
      <w:sz w:val="18"/>
      <w:szCs w:val="18"/>
    </w:rPr>
  </w:style>
  <w:style w:type="character" w:customStyle="1" w:styleId="17">
    <w:name w:val="font101"/>
    <w:qFormat/>
    <w:uiPriority w:val="99"/>
    <w:rPr>
      <w:rFonts w:ascii="??" w:hAnsi="??" w:eastAsia="Times New Roman"/>
      <w:color w:val="000000"/>
      <w:sz w:val="18"/>
      <w:u w:val="none"/>
    </w:rPr>
  </w:style>
  <w:style w:type="paragraph" w:customStyle="1" w:styleId="18">
    <w:name w:val="null3"/>
    <w:qFormat/>
    <w:uiPriority w:val="99"/>
    <w:rPr>
      <w:rFonts w:ascii="Calibri" w:hAnsi="Calibri" w:eastAsia="??" w:cs="Times New Roman"/>
      <w:lang w:val="en-US" w:eastAsia="zh-CN" w:bidi="ar-SA"/>
    </w:rPr>
  </w:style>
  <w:style w:type="paragraph" w:customStyle="1" w:styleId="19">
    <w:name w:val="Table Paragraph"/>
    <w:basedOn w:val="1"/>
    <w:qFormat/>
    <w:uiPriority w:val="99"/>
    <w:rPr>
      <w:sz w:val="24"/>
      <w:szCs w:val="22"/>
    </w:rPr>
  </w:style>
  <w:style w:type="character" w:customStyle="1" w:styleId="20">
    <w:name w:val="NormalCharacter"/>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3450</Words>
  <Characters>780</Characters>
  <Lines>6</Lines>
  <Paragraphs>8</Paragraphs>
  <TotalTime>17</TotalTime>
  <ScaleCrop>false</ScaleCrop>
  <LinksUpToDate>false</LinksUpToDate>
  <CharactersWithSpaces>4222</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2024-11-20T08:14:00Z</dcterms:created>
  <dc:creator>HP</dc:creator>
  <cp:lastModifiedBy>HP</cp:lastModifiedBy>
  <cp:lastPrinted>2024-11-27T02:16:00Z</cp:lastPrinted>
  <dcterms:modified xsi:type="dcterms:W3CDTF">2024-12-06T02:24:55Z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A0BE45F3D4538ED28A8C3D6721736D70_43</vt:lpwstr>
  </property>
</Properties>
</file>